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media/image1.png" ContentType="image/png"/>
  <Override PartName="/word/media/image2.png" ContentType="image/png"/>
  <Override PartName="/word/media/image3.png" ContentType="image/png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1.xml.rels" ContentType="application/vnd.openxmlformats-package.relationships+xml"/>
  <Override PartName="/_rels/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officedocument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ackground w:color="FFFFFF"/>
  <w:body>
    <w:p>
      <w:pPr>
        <w:pStyle w:val="Normal"/>
        <w:spacing w:lineRule="atLeast" w:line="30"/>
        <w:jc w:val="end"/>
        <w:rPr>
          <w:rFonts w:ascii="Calibri" w:hAnsi="Calibri" w:eastAsia="Lucida Sans Unicode" w:cs="Calibri"/>
          <w:sz w:val="22"/>
          <w:szCs w:val="22"/>
        </w:rPr>
      </w:pPr>
      <w:r>
        <w:rPr>
          <w:rFonts w:eastAsia="Lucida Sans Unicode" w:cs="Calibri" w:ascii="Calibri" w:hAnsi="Calibri"/>
          <w:sz w:val="22"/>
          <w:szCs w:val="22"/>
        </w:rPr>
      </w:r>
    </w:p>
    <w:tbl>
      <w:tblPr>
        <w:tblW w:w="9211" w:type="dxa"/>
        <w:jc w:val="start"/>
        <w:tblInd w:w="66" w:type="dxa"/>
        <w:tblLayout w:type="fixed"/>
        <w:tblCellMar>
          <w:top w:w="55" w:type="dxa"/>
          <w:start w:w="55" w:type="dxa"/>
          <w:bottom w:w="55" w:type="dxa"/>
          <w:end w:w="55" w:type="dxa"/>
        </w:tblCellMar>
      </w:tblPr>
      <w:tblGrid>
        <w:gridCol w:w="1797"/>
        <w:gridCol w:w="7413"/>
      </w:tblGrid>
      <w:tr>
        <w:trPr/>
        <w:tc>
          <w:tcPr>
            <w:tcW w:w="9210" w:type="dxa"/>
            <w:gridSpan w:val="2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44"/>
                <w:szCs w:val="44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44"/>
                <w:szCs w:val="44"/>
              </w:rPr>
              <w:t>BUDYNEK – B</w:t>
            </w:r>
          </w:p>
        </w:tc>
      </w:tr>
      <w:tr>
        <w:trPr/>
        <w:tc>
          <w:tcPr>
            <w:tcW w:w="9210" w:type="dxa"/>
            <w:gridSpan w:val="2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30"/>
                <w:szCs w:val="30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30"/>
                <w:szCs w:val="30"/>
              </w:rPr>
              <w:t>CZĘŚĆ – I:  PROJEKT WYKONAWCZY</w:t>
            </w:r>
          </w:p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30"/>
                <w:szCs w:val="30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30"/>
                <w:szCs w:val="30"/>
              </w:rPr>
              <w:t>BRANŻY ARCHITEKTONICZNO - BUDOWLANEJ</w:t>
            </w:r>
          </w:p>
        </w:tc>
      </w:tr>
      <w:tr>
        <w:trPr>
          <w:trHeight w:val="450" w:hRule="atLeast"/>
        </w:trPr>
        <w:tc>
          <w:tcPr>
            <w:tcW w:w="1797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NAZWA  INWESTYCJI</w:t>
            </w:r>
          </w:p>
        </w:tc>
        <w:tc>
          <w:tcPr>
            <w:tcW w:w="7413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  <w:t>Remont pomieszczeń dydaktycznych w budynku „B” i „C”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  <w:t>Zespołu Szkół Ponadpodstawowych Nr 2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  <w:t>Centrum Kształcenia Zawodowego im. T. Kościuszki w Łowiczu,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  <w:t>w ramach projektu pod nazwą: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vertAlign w:val="baseline"/>
              </w:rPr>
            </w:pPr>
            <w:r>
              <w:rPr>
                <w:rFonts w:cs="Arial" w:ascii="Arial" w:hAnsi="Arial"/>
                <w:sz w:val="24"/>
                <w:szCs w:val="24"/>
              </w:rPr>
              <w:t>„</w:t>
            </w:r>
            <w:r>
              <w:rPr>
                <w:rFonts w:cs="Arial" w:ascii="Arial" w:hAnsi="Arial"/>
                <w:sz w:val="24"/>
                <w:szCs w:val="24"/>
              </w:rPr>
              <w:t>Modernizacja pracowni warsztatowych do potrzeb zdobycia kwalifikacji branżowych na nowoczesnym rynku pracy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vertAlign w:val="baseli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vertAlign w:val="baseline"/>
              </w:rPr>
              <w:t>mechanizacji rolnictwa”</w:t>
            </w:r>
          </w:p>
        </w:tc>
      </w:tr>
      <w:tr>
        <w:trPr/>
        <w:tc>
          <w:tcPr>
            <w:tcW w:w="1797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ADRES INWESTYCJI</w:t>
            </w:r>
          </w:p>
        </w:tc>
        <w:tc>
          <w:tcPr>
            <w:tcW w:w="7413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FFFFFF" w:val="clear"/>
            <w:vAlign w:val="center"/>
          </w:tcPr>
          <w:p>
            <w:pPr>
              <w:pStyle w:val="Normal"/>
              <w:widowControl/>
              <w:suppressAutoHyphens w:val="true"/>
              <w:bidi w:val="0"/>
              <w:spacing w:lineRule="auto" w:line="276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sz w:val="24"/>
                <w:szCs w:val="24"/>
                <w:u w:val="no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sz w:val="24"/>
                <w:szCs w:val="24"/>
                <w:u w:val="none"/>
              </w:rPr>
              <w:t>ul. Blich 10, 99-400 Łowicz,</w:t>
            </w:r>
          </w:p>
          <w:p>
            <w:pPr>
              <w:pStyle w:val="Normal"/>
              <w:widowControl/>
              <w:suppressAutoHyphens w:val="true"/>
              <w:bidi w:val="0"/>
              <w:spacing w:lineRule="auto" w:line="276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sz w:val="24"/>
                <w:szCs w:val="24"/>
                <w:u w:val="no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sz w:val="24"/>
                <w:szCs w:val="24"/>
                <w:u w:val="none"/>
              </w:rPr>
              <w:t>dz. nr ewid. 1376/6, obręb: 0004 Korabka</w:t>
            </w:r>
          </w:p>
        </w:tc>
      </w:tr>
      <w:tr>
        <w:trPr/>
        <w:tc>
          <w:tcPr>
            <w:tcW w:w="1797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KATEGORIA BUDYNKU</w:t>
            </w:r>
          </w:p>
        </w:tc>
        <w:tc>
          <w:tcPr>
            <w:tcW w:w="7413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i w:val="false"/>
                <w:i w:val="false"/>
                <w:iCs w:val="false"/>
                <w:sz w:val="24"/>
                <w:szCs w:val="24"/>
              </w:rPr>
            </w:pPr>
            <w:r>
              <w:rPr>
                <w:rFonts w:cs="Arial" w:ascii="Arial" w:hAnsi="Arial"/>
                <w:i w:val="false"/>
                <w:iCs w:val="false"/>
                <w:sz w:val="24"/>
                <w:szCs w:val="24"/>
              </w:rPr>
              <w:t>IX – budynki szkolne</w:t>
            </w:r>
          </w:p>
        </w:tc>
      </w:tr>
      <w:tr>
        <w:trPr/>
        <w:tc>
          <w:tcPr>
            <w:tcW w:w="1797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IDENTYFIKATOR</w:t>
            </w:r>
          </w:p>
        </w:tc>
        <w:tc>
          <w:tcPr>
            <w:tcW w:w="7413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i w:val="false"/>
                <w:i w:val="false"/>
                <w:iCs w:val="false"/>
                <w:sz w:val="24"/>
                <w:szCs w:val="24"/>
              </w:rPr>
            </w:pPr>
            <w:r>
              <w:rPr>
                <w:rFonts w:cs="Arial" w:ascii="Arial" w:hAnsi="Arial"/>
                <w:i w:val="false"/>
                <w:iCs w:val="false"/>
                <w:sz w:val="24"/>
                <w:szCs w:val="24"/>
              </w:rPr>
              <w:t>100501_1.0004.1376/6</w:t>
            </w:r>
          </w:p>
        </w:tc>
      </w:tr>
      <w:tr>
        <w:trPr/>
        <w:tc>
          <w:tcPr>
            <w:tcW w:w="1797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ZAMAWIAJĄCY</w:t>
            </w:r>
          </w:p>
        </w:tc>
        <w:tc>
          <w:tcPr>
            <w:tcW w:w="7413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i w:val="false"/>
                <w:i w:val="false"/>
                <w:iCs w:val="false"/>
                <w:sz w:val="24"/>
                <w:szCs w:val="24"/>
              </w:rPr>
            </w:pPr>
            <w:r>
              <w:rPr>
                <w:rFonts w:cs="Arial" w:ascii="Arial" w:hAnsi="Arial"/>
                <w:i w:val="false"/>
                <w:iCs w:val="false"/>
                <w:sz w:val="24"/>
                <w:szCs w:val="24"/>
              </w:rPr>
              <w:t>Powiat Łowicki,  ul. Stanisławskiego 30,  99-400 Łowicz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tbl>
      <w:tblPr>
        <w:tblW w:w="9246" w:type="dxa"/>
        <w:jc w:val="start"/>
        <w:tblInd w:w="55" w:type="dxa"/>
        <w:tblLayout w:type="fixed"/>
        <w:tblCellMar>
          <w:top w:w="55" w:type="dxa"/>
          <w:start w:w="55" w:type="dxa"/>
          <w:bottom w:w="55" w:type="dxa"/>
          <w:end w:w="55" w:type="dxa"/>
        </w:tblCellMar>
      </w:tblPr>
      <w:tblGrid>
        <w:gridCol w:w="1812"/>
        <w:gridCol w:w="5781"/>
        <w:gridCol w:w="1653"/>
      </w:tblGrid>
      <w:tr>
        <w:trPr/>
        <w:tc>
          <w:tcPr>
            <w:tcW w:w="9246" w:type="dxa"/>
            <w:gridSpan w:val="3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</w:tcPr>
          <w:p>
            <w:pPr>
              <w:pStyle w:val="Zawartotabeli"/>
              <w:spacing w:before="0" w:after="0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4"/>
                <w:szCs w:val="24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4"/>
                <w:szCs w:val="24"/>
              </w:rPr>
              <w:t>OPRACOWANIE</w:t>
            </w:r>
          </w:p>
        </w:tc>
      </w:tr>
      <w:tr>
        <w:trPr/>
        <w:tc>
          <w:tcPr>
            <w:tcW w:w="1812" w:type="dxa"/>
            <w:tcBorders>
              <w:start w:val="single" w:sz="2" w:space="0" w:color="000000"/>
              <w:bottom w:val="single" w:sz="2" w:space="0" w:color="000000"/>
            </w:tcBorders>
            <w:shd w:fill="666666" w:val="clear"/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2"/>
                <w:szCs w:val="22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2"/>
                <w:szCs w:val="22"/>
              </w:rPr>
              <w:t>BRANŻA</w:t>
            </w:r>
          </w:p>
        </w:tc>
        <w:tc>
          <w:tcPr>
            <w:tcW w:w="5781" w:type="dxa"/>
            <w:tcBorders>
              <w:start w:val="single" w:sz="2" w:space="0" w:color="000000"/>
              <w:bottom w:val="single" w:sz="2" w:space="0" w:color="000000"/>
            </w:tcBorders>
            <w:shd w:fill="666666" w:val="clea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2"/>
                <w:szCs w:val="22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2"/>
                <w:szCs w:val="22"/>
              </w:rPr>
              <w:t>PROJEKTANT</w:t>
            </w:r>
          </w:p>
        </w:tc>
        <w:tc>
          <w:tcPr>
            <w:tcW w:w="1653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</w:tcPr>
          <w:p>
            <w:pPr>
              <w:pStyle w:val="Zawartotabeli"/>
              <w:spacing w:before="0" w:after="0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2"/>
                <w:szCs w:val="22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2"/>
                <w:szCs w:val="22"/>
              </w:rPr>
              <w:t>PODPIS</w:t>
            </w:r>
          </w:p>
        </w:tc>
      </w:tr>
      <w:tr>
        <w:trPr/>
        <w:tc>
          <w:tcPr>
            <w:tcW w:w="1812" w:type="dxa"/>
            <w:vMerge w:val="restart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ARCHITEKTURA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  <w:tc>
          <w:tcPr>
            <w:tcW w:w="5781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  <w:u w:val="single"/>
              </w:rPr>
              <w:t>Projektant: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MGR INŻ. ARCH. HUBERT A. CIESIELSKI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upr. bud. w spec. architektonicznej nr 16/PDOKK/2014</w:t>
            </w:r>
          </w:p>
        </w:tc>
        <w:tc>
          <w:tcPr>
            <w:tcW w:w="1653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napToGrid w:val="false"/>
              <w:spacing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</w:tr>
      <w:tr>
        <w:trPr/>
        <w:tc>
          <w:tcPr>
            <w:tcW w:w="1812" w:type="dxa"/>
            <w:vMerge w:val="continue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napToGrid w:val="false"/>
              <w:spacing w:before="0" w:after="0"/>
              <w:ind w:end="-1701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  <w:tc>
          <w:tcPr>
            <w:tcW w:w="5781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  <w:u w:val="single"/>
              </w:rPr>
              <w:t>Współpraca - opracowujący: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MGR INŻ. ARCH. ŁUKASZ WOJTYSIAK</w:t>
            </w:r>
          </w:p>
        </w:tc>
        <w:tc>
          <w:tcPr>
            <w:tcW w:w="1653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napToGrid w:val="false"/>
              <w:spacing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</w:tr>
      <w:tr>
        <w:trPr/>
        <w:tc>
          <w:tcPr>
            <w:tcW w:w="9246" w:type="dxa"/>
            <w:gridSpan w:val="3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4"/>
                <w:szCs w:val="24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4"/>
                <w:szCs w:val="24"/>
              </w:rPr>
              <w:t>DATA OPRACOWANIA: PAŹDZIERNIK – 2025r.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jc w:val="start"/>
        <w:rPr>
          <w:rFonts w:ascii="Arial" w:hAnsi="Arial" w:cs="Arial"/>
          <w:b/>
          <w:bCs/>
          <w:i/>
          <w:i/>
          <w:iCs/>
          <w:u w:val="single"/>
        </w:rPr>
      </w:pPr>
      <w:r>
        <w:rPr>
          <w:rFonts w:cs="Arial" w:ascii="Arial" w:hAnsi="Arial"/>
          <w:b/>
          <w:bCs/>
          <w:i/>
          <w:iCs/>
          <w:u w:val="single"/>
        </w:rPr>
        <w:t xml:space="preserve">EGZ. NR       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ListParagraph"/>
        <w:widowControl/>
        <w:numPr>
          <w:ilvl w:val="0"/>
          <w:numId w:val="0"/>
        </w:numPr>
        <w:bidi w:val="0"/>
        <w:spacing w:lineRule="auto" w:line="276" w:before="0" w:after="0"/>
        <w:ind w:hanging="0" w:start="360"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ZAWARTOŚĆ OPRACOWANIA:</w:t>
      </w:r>
    </w:p>
    <w:p>
      <w:pPr>
        <w:pStyle w:val="ListParagraph"/>
        <w:widowControl/>
        <w:numPr>
          <w:ilvl w:val="0"/>
          <w:numId w:val="0"/>
        </w:numPr>
        <w:bidi w:val="0"/>
        <w:spacing w:lineRule="auto" w:line="276" w:before="0" w:after="0"/>
        <w:ind w:hanging="0" w:start="360"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A:  ZAŁĄCZONE DOKUMENTY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Uprawnienia i przynależność projektantów do izby; ………………………………....str. 3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cs="Arial"/>
          <w:b/>
          <w:bCs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Oświadczenie projektantów;</w:t>
      </w:r>
      <w:r>
        <w:rPr>
          <w:rFonts w:cs="Arial" w:ascii="Arial" w:hAnsi="Arial"/>
          <w:b/>
          <w:bCs/>
          <w:sz w:val="24"/>
          <w:szCs w:val="24"/>
          <w:u w:val="none"/>
        </w:rPr>
        <w:t xml:space="preserve"> </w:t>
      </w: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…………………………………………………………....str. 6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cs="Arial"/>
          <w:b/>
          <w:bCs/>
          <w:sz w:val="24"/>
          <w:szCs w:val="24"/>
          <w:u w:val="none"/>
        </w:rPr>
      </w:pPr>
      <w:r>
        <w:rPr>
          <w:rFonts w:cs="Arial" w:ascii="Arial" w:hAnsi="Arial"/>
          <w:b/>
          <w:bCs/>
          <w:sz w:val="24"/>
          <w:szCs w:val="24"/>
          <w:u w:val="none"/>
        </w:rPr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B:  OPIS TECHNICZNY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I. DANE OGÓLNE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 xml:space="preserve"> …………………………………………………………………….....str. 7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1. Przedmiot opracowania; ……………………………………………………………...str. 7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2. Podstawa opracowania; ……………………………………………………………...str. 7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 xml:space="preserve">3. Dane i parametry inwentaryzacyjne; ………………………………………….….....srt. 7                                               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4. Ogólne założenia projektowe i projektowany zakres prac; ……………………….str. 8</w:t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76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5. Ogólne zasady prowadzenia robót oraz zagospodarowanie materiału rozbiórkowego i z demontażu ………………………………………………………....str. 10</w:t>
      </w:r>
    </w:p>
    <w:p>
      <w:pPr>
        <w:pStyle w:val="Header"/>
        <w:bidi w:val="0"/>
        <w:spacing w:lineRule="auto" w:line="276" w:before="0" w:after="0"/>
        <w:ind w:end="0"/>
        <w:jc w:val="start"/>
        <w:rPr>
          <w:rFonts w:ascii="Arial" w:hAnsi="Arial" w:cs="Arial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  <w:t>II. OPIS PROJEKTOWANYCH ROBÓT I DANE MATERIAŁOWE</w:t>
      </w:r>
      <w:r>
        <w:rPr>
          <w:rFonts w:eastAsia="HG Mincho Light J" w:cs="Arial" w:ascii="Arial" w:hAnsi="Arial"/>
          <w:b/>
          <w:bCs/>
          <w:sz w:val="24"/>
          <w:szCs w:val="24"/>
          <w:u w:val="none"/>
        </w:rPr>
        <w:t xml:space="preserve"> 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……………...str. 12</w:t>
      </w:r>
    </w:p>
    <w:p>
      <w:pPr>
        <w:pStyle w:val="Header"/>
        <w:bidi w:val="0"/>
        <w:spacing w:lineRule="auto" w:line="276" w:before="0" w:after="0"/>
        <w:ind w:end="0"/>
        <w:jc w:val="start"/>
        <w:rPr>
          <w:rFonts w:ascii="Arial" w:hAnsi="Arial" w:cs="Arial"/>
        </w:rPr>
      </w:pPr>
      <w:r>
        <w:rPr>
          <w:rFonts w:cs="Arial" w:ascii="Arial" w:hAnsi="Arial"/>
        </w:rPr>
        <w:t>1. Prace rozbiórkowe i demontażowe…………………………………………………str. 12</w:t>
      </w:r>
    </w:p>
    <w:p>
      <w:pPr>
        <w:pStyle w:val="Header"/>
        <w:bidi w:val="0"/>
        <w:spacing w:lineRule="auto" w:line="276" w:before="0" w:after="0"/>
        <w:ind w:end="0"/>
        <w:jc w:val="start"/>
        <w:rPr>
          <w:rFonts w:ascii="Arial" w:hAnsi="Arial" w:cs="Arial"/>
        </w:rPr>
      </w:pPr>
      <w:r>
        <w:rPr>
          <w:rFonts w:cs="Arial" w:ascii="Arial" w:hAnsi="Arial"/>
        </w:rPr>
        <w:t>2. Zasadnicze prace remontowe; ………...……………………………………….….str. 13</w:t>
      </w:r>
    </w:p>
    <w:p>
      <w:pPr>
        <w:pStyle w:val="Header"/>
        <w:bidi w:val="0"/>
        <w:spacing w:lineRule="auto" w:line="276" w:before="0" w:after="0"/>
        <w:ind w:end="0"/>
        <w:jc w:val="start"/>
        <w:rPr>
          <w:rFonts w:ascii="Arial" w:hAnsi="Arial" w:cs="Arial"/>
        </w:rPr>
      </w:pPr>
      <w:r>
        <w:rPr>
          <w:rFonts w:cs="Arial" w:ascii="Arial" w:hAnsi="Arial"/>
        </w:rPr>
        <w:t>3. Wyposażenie; …………………………………………………………………….….str. 16</w:t>
      </w:r>
    </w:p>
    <w:p>
      <w:pPr>
        <w:pStyle w:val="Header"/>
        <w:bidi w:val="0"/>
        <w:spacing w:lineRule="auto" w:line="276" w:before="0" w:after="0"/>
        <w:ind w:end="0"/>
        <w:jc w:val="start"/>
        <w:rPr>
          <w:rFonts w:ascii="Arial" w:hAnsi="Arial" w:cs="Arial"/>
        </w:rPr>
      </w:pPr>
      <w:r>
        <w:rPr>
          <w:rFonts w:cs="Arial" w:ascii="Arial" w:hAnsi="Arial"/>
        </w:rPr>
        <w:t>4. Prace w obrębie instalacji; ……………………………………………………..…...str. 19</w:t>
      </w:r>
    </w:p>
    <w:p>
      <w:pPr>
        <w:pStyle w:val="Header"/>
        <w:bidi w:val="0"/>
        <w:spacing w:lineRule="auto" w:line="276" w:before="0" w:after="0"/>
        <w:ind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</w:rPr>
        <w:t>5. Proponowana kolorysty</w:t>
      </w:r>
      <w:r>
        <w:rPr>
          <w:rFonts w:cs="Arial" w:ascii="Arial" w:hAnsi="Arial"/>
          <w:b w:val="false"/>
          <w:bCs w:val="false"/>
          <w:u w:val="none"/>
        </w:rPr>
        <w:t>ka i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 xml:space="preserve"> uwagi dotyczące stosowanych materiałów; ……...str. 19</w:t>
      </w:r>
    </w:p>
    <w:p>
      <w:pPr>
        <w:pStyle w:val="Header"/>
        <w:bidi w:val="0"/>
        <w:spacing w:lineRule="auto" w:line="276" w:before="0" w:after="0"/>
        <w:ind w:end="0"/>
        <w:jc w:val="start"/>
        <w:rPr/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  <w:t>III</w:t>
      </w:r>
      <w:r>
        <w:rPr>
          <w:rFonts w:cs="Arial" w:ascii="Arial" w:hAnsi="Arial"/>
          <w:b/>
          <w:bCs/>
          <w:sz w:val="24"/>
          <w:szCs w:val="24"/>
          <w:u w:val="single"/>
        </w:rPr>
        <w:t>. UWAGI KOŃCOWE</w:t>
      </w:r>
      <w:r>
        <w:rPr>
          <w:rFonts w:cs="Arial" w:ascii="Arial" w:hAnsi="Arial"/>
          <w:b/>
          <w:bCs/>
          <w:sz w:val="24"/>
          <w:szCs w:val="24"/>
          <w:u w:val="none"/>
        </w:rPr>
        <w:t xml:space="preserve"> </w:t>
      </w: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………………………….………………………………….....str. 22</w:t>
      </w:r>
    </w:p>
    <w:p>
      <w:pPr>
        <w:pStyle w:val="Header"/>
        <w:bidi w:val="0"/>
        <w:spacing w:lineRule="auto" w:line="276" w:before="0" w:after="0"/>
        <w:ind w:end="0"/>
        <w:jc w:val="start"/>
        <w:rPr/>
      </w:pPr>
      <w:r>
        <w:rPr/>
      </w:r>
    </w:p>
    <w:p>
      <w:pPr>
        <w:pStyle w:val="Header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C: CZĘŚĆ RYSUNKOWA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>Spis rysunków: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1. S-1 – plan sytuacyjny,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2. I-1 – Inwentaryzacja - rzut, skala 1:100,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3. I-2 – Inwentaryzacja - przekrój, skala 1:100,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4. A-1 – Rzut podstawowy (AG-II), skala 1:100,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5. A-2 – Przekrój ogólny / detal 1, skala 1:100 / 1:20,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6. A-3 – Prace poniżej poziomu posadzki, detale: 2, 3, 4, skala 1:100 / 1:20,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7. A-4  – Wyposażenie sportowe i ochronne - rzut, skala 1:100,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8. A-5 – Widoki ścian Pd i Pn, skala 1:100,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9. A-6 – Widoki ścian Zach. i Wsch., skala 1:100,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10. A-7 – Propozycja rozmieszczenia paneli akustycznych - rzut, skala 1:200,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11. A-8 –  Propozycja rozmieszczenia paneli akustycznych - widoki, skala 1:100,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12. A-9 – Detal 5 – nadproże, skala 1:20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Normal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drawing>
          <wp:anchor behindDoc="0" distT="0" distB="0" distL="0" distR="0" simplePos="0" locked="0" layoutInCell="0" allowOverlap="1" relativeHeight="3">
            <wp:simplePos x="0" y="0"/>
            <wp:positionH relativeFrom="column">
              <wp:posOffset>-91440</wp:posOffset>
            </wp:positionH>
            <wp:positionV relativeFrom="paragraph">
              <wp:posOffset>73660</wp:posOffset>
            </wp:positionV>
            <wp:extent cx="5902325" cy="8112125"/>
            <wp:effectExtent l="0" t="0" r="0" b="0"/>
            <wp:wrapSquare wrapText="largest"/>
            <wp:docPr id="1" name="Obraz1" descr="" title="Kopia uprawnień budowlanych projektanta Huberta A. Ciesielskiego - str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1" descr="" title="Kopia uprawnień budowlanych projektanta Huberta A. Ciesielskiego - str.1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rcRect l="-386" t="-273" r="-386" b="-2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8112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rial" w:ascii="Arial" w:hAnsi="Arial"/>
          <w:sz w:val="24"/>
          <w:szCs w:val="24"/>
        </w:rPr>
        <w:t>Obraz-1. Kopia uprawnień budowlanych projektanta.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Normal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drawing>
          <wp:anchor behindDoc="0" distT="0" distB="0" distL="0" distR="0" simplePos="0" locked="0" layoutInCell="0" allowOverlap="1" relativeHeight="2">
            <wp:simplePos x="0" y="0"/>
            <wp:positionH relativeFrom="column">
              <wp:posOffset>-163830</wp:posOffset>
            </wp:positionH>
            <wp:positionV relativeFrom="paragraph">
              <wp:posOffset>158750</wp:posOffset>
            </wp:positionV>
            <wp:extent cx="5982335" cy="8229600"/>
            <wp:effectExtent l="0" t="0" r="0" b="0"/>
            <wp:wrapSquare wrapText="largest"/>
            <wp:docPr id="2" name="Obraz2" descr="" title="Kopia uprawnień budowlanych projektanta Huberta A. Ciesielskiego - str.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2" descr="" title="Kopia uprawnień budowlanych projektanta Huberta A. Ciesielskiego - str.2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rcRect l="-386" t="-273" r="-386" b="-2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233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Arial" w:ascii="Arial" w:hAnsi="Arial"/>
        </w:rPr>
        <w:t>Obraz-2. Kopia uprawnień budowlanych projektanta.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drawing>
          <wp:anchor behindDoc="0" distT="0" distB="0" distL="0" distR="0" simplePos="0" locked="0" layoutInCell="0" allowOverlap="1" relativeHeight="4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817870" cy="8241030"/>
            <wp:effectExtent l="0" t="0" r="0" b="0"/>
            <wp:wrapSquare wrapText="largest"/>
            <wp:docPr id="3" name="Obraz3" descr="" title="Kopia zaświadczenia z izby projektanta Huberta A. Ciesielskie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3" descr="" title="Kopia zaświadczenia z izby projektanta Huberta A. Ciesielskiego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-195" t="-138" r="-195" b="-1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7870" cy="82410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</w:rPr>
        <w:t>Obraz-3. Kopia zaświadczenia z izby zawodowej projektanta.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  <w:t>OŚWIADCZENIE PROJEKTANTA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  <w:tab/>
      </w:r>
      <w:r>
        <w:rPr>
          <w:rFonts w:cs="Arial" w:ascii="Arial" w:hAnsi="Arial"/>
          <w:sz w:val="24"/>
          <w:szCs w:val="24"/>
        </w:rPr>
        <w:t>Na podstawie art. 34 ust. 3d pkt 3 oraz art. 34 ust. 3e Ustawy z dnia 7 lipca 1994 r. Prawo budowlane (Dz. U. z 2020 r. poz. 1333, 2127, 2320, z 2021 r. poz. 11, 234, 282, 784) oświadczam,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 xml:space="preserve">że niniejszy </w:t>
      </w:r>
      <w:r>
        <w:rPr>
          <w:rFonts w:cs="Arial" w:ascii="Arial" w:hAnsi="Arial"/>
          <w:b/>
          <w:bCs/>
          <w:sz w:val="24"/>
          <w:szCs w:val="24"/>
        </w:rPr>
        <w:t>projekt wykonawczy branży architektoniczno - budowlanej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wykonany na rzecz zamierzenia budowlanego: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/>
          <w:bCs/>
          <w:i w:val="false"/>
          <w:i w:val="false"/>
          <w:iCs w:val="false"/>
          <w:position w:val="0"/>
          <w:sz w:val="24"/>
          <w:sz w:val="24"/>
          <w:szCs w:val="24"/>
          <w:vertAlign w:val="baseline"/>
        </w:rPr>
      </w:pPr>
      <w:r>
        <w:rPr>
          <w:rFonts w:cs="Arial" w:ascii="Arial" w:hAnsi="Arial"/>
          <w:b/>
          <w:bCs/>
          <w:i w:val="false"/>
          <w:iCs w:val="false"/>
          <w:position w:val="0"/>
          <w:sz w:val="24"/>
          <w:sz w:val="24"/>
          <w:szCs w:val="24"/>
          <w:vertAlign w:val="baseline"/>
        </w:rPr>
        <w:t>Remont pomieszczeń dydaktycznych w budynku „B”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/>
          <w:bCs/>
          <w:i w:val="false"/>
          <w:i w:val="false"/>
          <w:iCs w:val="false"/>
          <w:position w:val="0"/>
          <w:sz w:val="24"/>
          <w:sz w:val="24"/>
          <w:szCs w:val="24"/>
          <w:vertAlign w:val="baseline"/>
        </w:rPr>
      </w:pPr>
      <w:r>
        <w:rPr>
          <w:rFonts w:cs="Arial" w:ascii="Arial" w:hAnsi="Arial"/>
          <w:b/>
          <w:bCs/>
          <w:i w:val="false"/>
          <w:iCs w:val="false"/>
          <w:position w:val="0"/>
          <w:sz w:val="24"/>
          <w:sz w:val="24"/>
          <w:szCs w:val="24"/>
          <w:vertAlign w:val="baseline"/>
        </w:rPr>
        <w:t>Zespołu Szkół Ponadpodstawowych Nr 2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/>
          <w:bCs/>
          <w:i w:val="false"/>
          <w:i w:val="false"/>
          <w:iCs w:val="false"/>
          <w:position w:val="0"/>
          <w:sz w:val="24"/>
          <w:sz w:val="24"/>
          <w:szCs w:val="24"/>
          <w:vertAlign w:val="baseline"/>
        </w:rPr>
      </w:pPr>
      <w:r>
        <w:rPr>
          <w:rFonts w:cs="Arial" w:ascii="Arial" w:hAnsi="Arial"/>
          <w:b/>
          <w:bCs/>
          <w:i w:val="false"/>
          <w:iCs w:val="false"/>
          <w:position w:val="0"/>
          <w:sz w:val="24"/>
          <w:sz w:val="24"/>
          <w:szCs w:val="24"/>
          <w:vertAlign w:val="baseline"/>
        </w:rPr>
        <w:t>Centrum Kształcenia Zawodowego im. T. Kościuszki w Łowiczu,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i/>
          <w:i/>
          <w:iCs/>
          <w:sz w:val="24"/>
          <w:szCs w:val="24"/>
        </w:rPr>
      </w:pPr>
      <w:r>
        <w:rPr>
          <w:rFonts w:cs="Arial" w:ascii="Arial" w:hAnsi="Arial"/>
          <w:b/>
          <w:bCs/>
          <w:i w:val="false"/>
          <w:iCs w:val="false"/>
          <w:position w:val="0"/>
          <w:sz w:val="24"/>
          <w:sz w:val="24"/>
          <w:szCs w:val="24"/>
          <w:vertAlign w:val="baseline"/>
        </w:rPr>
        <w:t xml:space="preserve">w ramach projektu pod nazwą: 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i/>
          <w:iCs/>
          <w:sz w:val="24"/>
          <w:szCs w:val="24"/>
        </w:rPr>
        <w:t>„</w:t>
      </w:r>
      <w:r>
        <w:rPr>
          <w:rFonts w:cs="Arial" w:ascii="Arial" w:hAnsi="Arial"/>
          <w:i/>
          <w:iCs/>
          <w:sz w:val="24"/>
          <w:szCs w:val="24"/>
        </w:rPr>
        <w:t>Modernizacja pracowni warsztatowych do potrzeb zdobycia kwalifikacji branżowych na nowoczesnym rynku pracy mechanizacji rolnictwa”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cs="Arial" w:ascii="Arial" w:hAnsi="Arial"/>
          <w:sz w:val="24"/>
          <w:szCs w:val="24"/>
        </w:rPr>
        <w:t>Lokalizacja: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none"/>
        </w:rPr>
        <w:t>ul. Blich 10,  99-400 Łowicz,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none"/>
        </w:rPr>
        <w:t>dz. nr ewid. 1376/6, obręb: 0004 Korabka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Normal"/>
        <w:tabs>
          <w:tab w:val="clear" w:pos="708"/>
          <w:tab w:val="left" w:pos="3114" w:leader="none"/>
        </w:tabs>
        <w:spacing w:lineRule="auto" w:line="240" w:before="0" w:after="0"/>
        <w:jc w:val="start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- został sporządzony zgodnie z obowiązującymi przepisami i zasadami wiedzy technicznej.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Osoby, o których mowa w art. 20 ust. 1 pkt 1a ustawy Prawo budowlane, biorące udział w opracowaniu projektu: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tbl>
      <w:tblPr>
        <w:tblW w:w="9056" w:type="dxa"/>
        <w:jc w:val="start"/>
        <w:tblInd w:w="55" w:type="dxa"/>
        <w:tblLayout w:type="fixed"/>
        <w:tblCellMar>
          <w:top w:w="55" w:type="dxa"/>
          <w:start w:w="55" w:type="dxa"/>
          <w:bottom w:w="55" w:type="dxa"/>
          <w:end w:w="55" w:type="dxa"/>
        </w:tblCellMar>
      </w:tblPr>
      <w:tblGrid>
        <w:gridCol w:w="6401"/>
        <w:gridCol w:w="2654"/>
      </w:tblGrid>
      <w:tr>
        <w:trPr/>
        <w:tc>
          <w:tcPr>
            <w:tcW w:w="6401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uto" w:line="24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Opracowanie:</w:t>
            </w:r>
          </w:p>
        </w:tc>
        <w:tc>
          <w:tcPr>
            <w:tcW w:w="2654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pacing w:lineRule="auto" w:line="24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Podpis:</w:t>
            </w:r>
          </w:p>
        </w:tc>
      </w:tr>
      <w:tr>
        <w:trPr/>
        <w:tc>
          <w:tcPr>
            <w:tcW w:w="6401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  <w:u w:val="single"/>
              </w:rPr>
              <w:t>Projektant: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MGR INŻ. ARCH. HUBERT A. CIESIELSKI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upr. bud. w spec. architektonicznej nr 16/PDOKK/2014</w:t>
            </w:r>
          </w:p>
        </w:tc>
        <w:tc>
          <w:tcPr>
            <w:tcW w:w="2654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napToGrid w:val="false"/>
              <w:spacing w:lineRule="auto" w:line="24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</w:tr>
      <w:tr>
        <w:trPr/>
        <w:tc>
          <w:tcPr>
            <w:tcW w:w="6401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  <w:u w:val="single"/>
              </w:rPr>
              <w:t>Współpraca - opracowujący: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MGR INŻ. ARCH. ŁUKASZ WOJTYSIAK</w:t>
            </w:r>
          </w:p>
        </w:tc>
        <w:tc>
          <w:tcPr>
            <w:tcW w:w="2654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napToGrid w:val="false"/>
              <w:spacing w:lineRule="auto" w:line="24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</w:tr>
      <w:tr>
        <w:trPr/>
        <w:tc>
          <w:tcPr>
            <w:tcW w:w="9055" w:type="dxa"/>
            <w:gridSpan w:val="2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sz w:val="22"/>
                <w:szCs w:val="22"/>
                <w:u w:val="none"/>
              </w:rPr>
            </w:pPr>
            <w:r>
              <w:rPr>
                <w:rFonts w:cs="Arial" w:ascii="Arial" w:hAnsi="Arial"/>
                <w:sz w:val="22"/>
                <w:szCs w:val="22"/>
                <w:u w:val="none"/>
              </w:rPr>
              <w:t>PAŹDZIERNIK 2025</w:t>
            </w:r>
          </w:p>
        </w:tc>
      </w:tr>
    </w:tbl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ListParagraph"/>
        <w:widowControl/>
        <w:numPr>
          <w:ilvl w:val="0"/>
          <w:numId w:val="0"/>
        </w:numPr>
        <w:suppressAutoHyphens w:val="tru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color w:val="FF0000"/>
          <w:sz w:val="28"/>
          <w:szCs w:val="28"/>
        </w:rPr>
      </w:pPr>
      <w:r>
        <w:rPr>
          <w:rFonts w:cs="Arial" w:ascii="Arial" w:hAnsi="Arial"/>
          <w:color w:val="FF0000"/>
          <w:sz w:val="28"/>
          <w:szCs w:val="28"/>
        </w:rPr>
      </w:r>
    </w:p>
    <w:p>
      <w:pPr>
        <w:pStyle w:val="Heading2"/>
        <w:numPr>
          <w:ilvl w:val="1"/>
          <w:numId w:val="1"/>
        </w:numPr>
        <w:ind w:hanging="0" w:start="0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eastAsia="HG Mincho Light J" w:cs="Arial"/>
          <w:b w:val="false"/>
          <w:bCs w:val="false"/>
          <w:u w:val="none"/>
        </w:rPr>
      </w:pPr>
      <w:r>
        <w:rPr>
          <w:sz w:val="28"/>
          <w:szCs w:val="28"/>
        </w:rPr>
        <w:t>I. DANE OGÓLNE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/>
        <w:t>1. PRZEDMIOT OPRACOWANIA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 xml:space="preserve">Przedmiotem niniejszego opracowania jest projekt wykonawczy branży architektoniczno - budowlanej, wewnętrznego remontu sali gimnastycznej, znajdującej się w budynku „B” Zespołu Szkół Ponadpodstawowych Nr 2, </w:t>
      </w:r>
      <w:r>
        <w:rPr>
          <w:rFonts w:eastAsia="HG Mincho Light J" w:cs="Arial" w:ascii="Arial" w:hAnsi="Arial"/>
          <w:b w:val="false"/>
          <w:bCs w:val="false"/>
          <w:i w:val="false"/>
          <w:iCs w:val="false"/>
          <w:sz w:val="24"/>
          <w:szCs w:val="24"/>
          <w:u w:val="none"/>
        </w:rPr>
        <w:t>Centrum Kształcenia Zawodowego im. Tadeusza Kościuszki w Łowiczu. Adres inwestycji: ul. Blich 10, 99-400 Łowicz, dz. nr ewid. 1376/6, obręb: 0004 – Korabka, Łowicz.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i w:val="false"/>
          <w:i w:val="false"/>
          <w:iCs w:val="false"/>
          <w:position w:val="0"/>
          <w:sz w:val="24"/>
          <w:sz w:val="24"/>
          <w:szCs w:val="24"/>
          <w:u w:val="none"/>
          <w:vertAlign w:val="baseline"/>
        </w:rPr>
      </w:pPr>
      <w:r>
        <w:rPr>
          <w:rFonts w:eastAsia="HG Mincho Light J" w:cs="Arial" w:ascii="Arial" w:hAnsi="Arial"/>
          <w:b w:val="false"/>
          <w:bCs w:val="false"/>
          <w:i w:val="false"/>
          <w:iCs w:val="false"/>
          <w:sz w:val="24"/>
          <w:szCs w:val="24"/>
          <w:u w:val="none"/>
        </w:rPr>
        <w:tab/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 xml:space="preserve">Opracowanie stanowi część całego zadania: Remont pomieszczeń dydaktycznych w budynku „C” i „B” Zespołu Szkół Ponadpodstawowych Nr 2, Centrum Kształcenia Zawodowego im. Tadeusz Kościuszki w Łowiczu </w:t>
      </w:r>
      <w:r>
        <w:rPr>
          <w:rFonts w:eastAsia="HG Mincho Light J" w:cs="Arial" w:ascii="Arial" w:hAnsi="Arial"/>
          <w:b w:val="false"/>
          <w:bCs w:val="false"/>
          <w:i w:val="false"/>
          <w:iCs w:val="false"/>
          <w:position w:val="0"/>
          <w:sz w:val="24"/>
          <w:sz w:val="24"/>
          <w:szCs w:val="24"/>
          <w:u w:val="none"/>
          <w:vertAlign w:val="baseline"/>
        </w:rPr>
        <w:t xml:space="preserve">w ramach projektu pod nazwą: </w:t>
      </w:r>
      <w:r>
        <w:rPr>
          <w:rFonts w:cs="Arial" w:ascii="Arial" w:hAnsi="Arial"/>
          <w:sz w:val="24"/>
          <w:szCs w:val="24"/>
        </w:rPr>
        <w:t xml:space="preserve">„Modernizacja pracowni warsztatowych do potrzeb zdobycia kwalifikacji branżowych na nowoczesnym rynku pracy </w:t>
      </w:r>
      <w:r>
        <w:rPr>
          <w:rFonts w:eastAsia="HG Mincho Light J" w:cs="Arial" w:ascii="Arial" w:hAnsi="Arial"/>
          <w:b w:val="false"/>
          <w:bCs w:val="false"/>
          <w:i w:val="false"/>
          <w:iCs w:val="false"/>
          <w:position w:val="0"/>
          <w:sz w:val="24"/>
          <w:sz w:val="24"/>
          <w:szCs w:val="24"/>
          <w:u w:val="none"/>
          <w:vertAlign w:val="baseline"/>
        </w:rPr>
        <w:t>mechanizacji rolnictwa”.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sz w:val="24"/>
          <w:szCs w:val="24"/>
        </w:rPr>
      </w:pPr>
      <w:r>
        <w:rPr>
          <w:rFonts w:eastAsia="HG Mincho Light J" w:cs="Arial" w:ascii="Arial" w:hAnsi="Arial"/>
          <w:b w:val="false"/>
          <w:bCs w:val="false"/>
          <w:i w:val="false"/>
          <w:iCs w:val="false"/>
          <w:position w:val="0"/>
          <w:sz w:val="24"/>
          <w:sz w:val="24"/>
          <w:szCs w:val="24"/>
          <w:u w:val="none"/>
          <w:vertAlign w:val="baseline"/>
        </w:rPr>
        <w:tab/>
        <w:t>Dokumentacja dotycząca budynku „C” – stanowi odrębne opracowanie.</w:t>
      </w:r>
    </w:p>
    <w:p>
      <w:pPr>
        <w:pStyle w:val="Zawartotabeli"/>
        <w:widowControl w:val="false"/>
        <w:suppressLineNumbers/>
        <w:suppressAutoHyphens w:val="false"/>
        <w:bidi w:val="0"/>
        <w:spacing w:lineRule="auto" w:line="240" w:before="0" w:after="0"/>
        <w:ind w:end="57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/>
        <w:t>2. PODSTAWA OPRACOWANIA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Zlecenie inwestora,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Umowa z inwestorem,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Ustalenia wynikające z formy inwestycji,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Wizja lokalna w miejscu inwestycji,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Pomiary inwentaryzacyjne przeprowadzone w obrębie przedmiotowych pomieszczeń,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Mapa zasadnicza,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Wytyczne i rozwiązania projektowe pozostałych branż,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Podstawy formalno – prawne.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/>
        <w:t>3. DANE I PARAMETRY INWENTARYZACYJNE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  <w:t>Przedmiotowy budynek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Sala gimnastyczna podlegające pracom remontowym znajduje się w budynku „B” Zespołu Szkół Ponadpodstawowych Nr 2, zlokalizowanym przy ul. Blich 10, na dz. nr 1376/6. Przedmiotowy obiekt usytuowany jest w frontowej części terenu obejmującego kompleks zabudowań szkolnych – od strony wejścia głównego na posesję.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Budynek wzniesiony jest na fundamentach betonowych, jako murowany (ściany docieplone styropianem), przekryty stropodachem z płyt korytkowych. W części stanowiącej salę gimnastyczną stropodach opiera się na stalowej konstrukcji kratowej. Dach z zewnątrz docieplony jest styropianem i pokryty papą. W części mieszczącej przedmiotową salę gimnastyczną - pod posadzką (przy ścianie zewnętrznej południowej i wschodniej) przebiega kanał instalacyjny.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Budynek zasilany jest w energię elektryczną i wodę poprzez podłączenia do ogólnej infrastruktury terenu. Energia cieplna do zasilania c.o. i c.w.u. wytwarzana jest w kotłowni usytuowanej w budynku „C”. Rozprowadzenie obwodów grzewczych zasilających salę, odbywa się z węzła cieplnego zlokalizowanego w budynku B. Obiekt posiada pełne wyposażenie w instalacje wewnętrzne: instalację elektryczną, internetową, instalacje sanitarne (wodną, kanalizacyjną, cwu, i co – grzejnikową). Pomieszczenia w budynku wyposażone są w kanały wentylacji grawitacyjnej, a część z nich w tym przedmiotowa sala gimnastyczna posiada wyciągi mechaniczne zaopatrzone w wentylatory ścienne.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  <w:t>Ogólny opis  sali gimnastycznej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singl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Usytuowanie – na poziomie parteru w budynku „B”.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Połączenie komunikacyjne i droga ewakuacyjna – bezpośrednio na główny korytarz.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Istniejący układ funkcjonalny –  jedno pomieszczenie na planie prostokątnym.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Istniejące wykończenie: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ściany -  farba emulsyjna na tynku,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posadzka - parkiet drewniany na warstwie legarowej i wylewce betonowej z izolacją z papy; układ warstw istniejącej posadzki: 1) parkiet na kleju, 2) podłoga z desek 3,2cm, 3) legary drewniane 7,5x7,5cm w rozstawie 100cm w dwóch warstwach na krzyż, 4) papa, 5) wylewka betonowa – ok.7cm, 6) warstwy podbudowy / gruntu.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sufit -  farba emulsyjna na tynku typu „baranek”,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Istniejąca stolarka / ślusarka: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drzwi dwuskrzydłowe, okna / przeszklenia - PCV,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Wyposażenie w instalacje wewnętrzne: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instalacja co – grzejnik żebrowe pod oknami i w przestrzeniach międzyokiennych,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instalacja elektryczna (gniazda 230V, oświetlenie górne podwieszone do stalowej listwy pod sufitem,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- wentylacja grawitacyjna (wywietrzaki dachowe) oraz wentylacja poprzez elektryczne wentylatory ścienne.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Powierzchnia pomieszczenia – 396,5m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  <w:vertAlign w:val="superscript"/>
        </w:rPr>
        <w:t>2</w:t>
      </w:r>
      <w:r>
        <w:rPr>
          <w:rFonts w:eastAsia="HG Mincho Light J" w:cs="Arial" w:ascii="Arial" w:hAnsi="Arial"/>
          <w:b w:val="false"/>
          <w:bCs w:val="false"/>
          <w:position w:val="0"/>
          <w:sz w:val="24"/>
          <w:sz w:val="24"/>
          <w:szCs w:val="24"/>
          <w:u w:val="none"/>
          <w:vertAlign w:val="baseline"/>
        </w:rPr>
        <w:t>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Wysokość pomieszczenia – 8,12 – 7,40m (w pomiarze od płyt korytkowych stropu do podłogi),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 xml:space="preserve">- Kanał techniczny przebiegający pod posadzką sali wzdłuż ściany południowej i wschodniej. Wymiary kanału technicznego: głębokość  / szerokość - około 120cm  / 80cm. Przekrycie kanału stanowią płyty betonowe 90x70cm o gr. 7cm oraz warstwy posadzkowe znajdujące się ponad kanałem. Ściany boczne kanału wykonane jako murowane. 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  <w:t>UWAGA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: dane ad kanału – na podstawie oględzin dokonanych w pomieszczeniu przed salą; w razie stwierdzenia innych parametrów należy skorygować dane.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Usytuowanie poziomu posadzki w stosunku do komunikacji w budynku – na równi z poziomem posadzki korytarza.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eastAsia="HG Mincho Light J" w:cs="Arial"/>
          <w:b/>
          <w:bCs/>
          <w:sz w:val="24"/>
          <w:szCs w:val="24"/>
          <w:u w:val="none"/>
        </w:rPr>
      </w:pPr>
      <w:r>
        <w:rPr/>
        <w:t>4. OGÓLNE ZAŁOŻENIA PROJEKTOWE I PROJEKTOWANY ZAKRES PRAC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non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non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  <w:t>Założenia projektowe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Planowany remont ma na celu modernizację sali gimnastycznej w obrębie jej wnętrza, w tym instalacji elektrycznej oraz c.o.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Wykonane zostaną nowe warstwy wykończeniowe przegród (sufitów, ścian) oraz nowa podłoga wraz z podbudową. Przewidziano montaż nowych drzwi wejściowych do pomieszczenia. Dokonana zostanie wymiana instalacji elektrycznej wewnętrznej wraz z kablem zasilającym z doposażeniem w instalację nagłośnienia.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Ponadto wykonane zostaną: zabezpieczenia akustyczne ścian w poziomie użytkowym sali, oraz montaż wyposażenia sportowego i ochronnego.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  <w:t>Planowana inwestycja nie będzie ingerować w konstrukcję ścian, stropów budynku i jego układ funkcjonalny.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ab/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  <w:t>Dane powierzchniowe i projektowana wysokość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Powierzchnia pomieszczenia (bez zmian) – 396,5m</w:t>
      </w: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  <w:vertAlign w:val="superscript"/>
        </w:rPr>
        <w:t>2</w:t>
      </w:r>
      <w:r>
        <w:rPr>
          <w:rFonts w:eastAsia="HG Mincho Light J" w:cs="Arial" w:ascii="Arial" w:hAnsi="Arial"/>
          <w:b w:val="false"/>
          <w:bCs w:val="false"/>
          <w:position w:val="0"/>
          <w:sz w:val="24"/>
          <w:sz w:val="24"/>
          <w:szCs w:val="24"/>
          <w:u w:val="none"/>
          <w:vertAlign w:val="baseline"/>
        </w:rPr>
        <w:t>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singl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Wysokość pomieszczenia (bez zmian) – 8,12 – 7,40m (w pomiarze od płyt korytkowych stropu do podłogi),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singl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  <w:t>Projektowany zakres prac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singl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  <w:t>Uwaga: wymienione prace dotyczące instalacji elektrycznych i c.o., ujęte zostały w projektach branżowych poszczególnych instalacji.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HG Mincho Light J" w:cs="Arial"/>
          <w:b w:val="false"/>
          <w:bCs w:val="false"/>
          <w:sz w:val="24"/>
          <w:szCs w:val="24"/>
          <w:u w:val="single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color w:val="000000"/>
          <w:sz w:val="24"/>
          <w:szCs w:val="24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single"/>
        </w:rPr>
        <w:t>Zakres prac: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wykucie z muru ościeżnic z drzwiami,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demontaż grzejników i instalacji c.o. w obrębie sali,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demontaż instalacji elektrycznej,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likwidacja kanału instalacyjnego,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demontaż warstw posadzkowych do poziomu gruntu,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zeskrobanie / zmycie starej farby z powierzchni przegród,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oczyszczenie konstrukcji stalowych,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instalacji elektrycznej oświetleniowej i gniazd wtykowych,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instalacji nagłośnienia,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- naprawa i uzupełnienie tynków, 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color w:val="000000"/>
          <w:sz w:val="24"/>
          <w:szCs w:val="24"/>
        </w:rPr>
        <w:t>- gruntowanie, gładzenie i malowanie ścian,</w:t>
      </w:r>
    </w:p>
    <w:p>
      <w:pPr>
        <w:pStyle w:val="Normal"/>
        <w:spacing w:lineRule="auto" w:line="276" w:before="0" w:after="0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- wykonanie posadzki z dostosowaniem do funkcji i sposobów wykorzystywania sali, wraz z warstwami podbudowy i elementami do montażu wyposażenia,</w:t>
      </w:r>
    </w:p>
    <w:p>
      <w:pPr>
        <w:pStyle w:val="Normal"/>
        <w:spacing w:lineRule="auto" w:line="276" w:before="0" w:after="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- wykonanie na odnowionych powierzchniach ściennych zabezpieczeń akustycznych eliminujących pogłos,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usprawnienie wentylacji pomieszczenia (montaż nawiewników okiennych / udrożnienie kanałów wentylacyjnych),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color w:val="000000"/>
          <w:sz w:val="24"/>
          <w:szCs w:val="24"/>
        </w:rPr>
        <w:t>- montaż drzwi o podwyższonej izolacyjności akustycznej z ościeżnicą,</w:t>
      </w:r>
    </w:p>
    <w:p>
      <w:pPr>
        <w:pStyle w:val="Normal"/>
        <w:spacing w:lineRule="auto" w:line="276" w:before="0" w:after="0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- wykonanie zabezpieczeń przed uderzeniem piłką: zabezpieczenie okien w formie siatki i osłon grzejnikowych,</w:t>
      </w:r>
    </w:p>
    <w:p>
      <w:pPr>
        <w:pStyle w:val="Normal"/>
        <w:spacing w:lineRule="auto" w:line="276" w:before="0" w:after="0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- montaż kotary do podziału sali na dwa niezależne pola,</w:t>
      </w:r>
    </w:p>
    <w:p>
      <w:pPr>
        <w:pStyle w:val="Normal"/>
        <w:spacing w:lineRule="auto" w:line="276" w:before="0" w:after="0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- wykonanie instalacji do podłączenia systemu nagłośnienia,</w:t>
      </w:r>
    </w:p>
    <w:p>
      <w:pPr>
        <w:pStyle w:val="Normal"/>
        <w:spacing w:lineRule="auto" w:line="276" w:before="0" w:after="0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 xml:space="preserve">- montaż wyposażenia podstawowego: tablice do gry w koszykówkę, zestawy do sytuowania elementów w podłogach tj. tuleje systemowe do montażu bramek i słupków siatkarskich, montaż bramek, montaż słupków siatkarskich z osprzętem, </w:t>
      </w:r>
    </w:p>
    <w:p>
      <w:pPr>
        <w:pStyle w:val="Normal"/>
        <w:spacing w:lineRule="auto" w:line="276" w:before="0" w:after="0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- montaż drabinek gimnastycznych,</w:t>
      </w:r>
    </w:p>
    <w:p>
      <w:pPr>
        <w:pStyle w:val="Normal"/>
        <w:spacing w:lineRule="auto" w:line="276" w:before="0" w:after="0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- montaż i instalacja tablic wyników,</w:t>
      </w:r>
    </w:p>
    <w:p>
      <w:pPr>
        <w:pStyle w:val="Normal"/>
        <w:spacing w:lineRule="auto" w:line="276" w:before="0" w:after="0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- montaż pozostałego wyposażenia,</w:t>
      </w:r>
    </w:p>
    <w:p>
      <w:pPr>
        <w:pStyle w:val="Normal"/>
        <w:spacing w:lineRule="auto" w:line="276" w:before="0" w:after="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- zastosowanie dedykowanego dla sal gimnastycznych oświetlenia,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 montaż przed wejściem tabliczki  informacyjnej z nazwą pomieszczenia z dodatkowym tekstem w alfabecie Braille'a,</w:t>
      </w:r>
    </w:p>
    <w:p>
      <w:pPr>
        <w:pStyle w:val="Normal"/>
        <w:suppressAutoHyphens w:val="false"/>
        <w:spacing w:lineRule="auto" w:line="240"/>
        <w:rPr>
          <w:rFonts w:ascii="Arial" w:hAnsi="Arial" w:eastAsia="HG Mincho Light J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color w:val="000000"/>
          <w:sz w:val="24"/>
          <w:szCs w:val="24"/>
        </w:rPr>
        <w:t>- wywóz i utylizacja gruzu oraz pozostałych materiałów z rozbiórek / demontaży,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color w:val="000000"/>
          <w:sz w:val="24"/>
          <w:szCs w:val="24"/>
          <w:u w:val="single"/>
          <w:shd w:fill="auto" w:val="clear"/>
        </w:rPr>
      </w:pPr>
      <w:r>
        <w:rPr>
          <w:rFonts w:eastAsia="HG Mincho Light J" w:cs="Arial" w:ascii="Arial" w:hAnsi="Arial"/>
          <w:b w:val="false"/>
          <w:bCs w:val="false"/>
          <w:sz w:val="24"/>
          <w:szCs w:val="24"/>
          <w:u w:val="none"/>
        </w:rPr>
        <w:t>- prace porządkowe,</w:t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/>
        <w:t>5. OGÓLNE ZASADY PROWADZENIA ROBÓT BUDOWLANYCH, MONTAŻOWYCH, DEMONTAŻOWYCH I ROZBIÓRKOWYCH ORAZ ZAGOSPODAROWANIE MATERIAŁU ROZBIÓRKOWEGO I Z DEMONTAŻU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bCs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b/>
          <w:bCs/>
          <w:i w:val="false"/>
          <w:iCs w:val="false"/>
          <w:sz w:val="24"/>
          <w:szCs w:val="24"/>
          <w:u w:val="single"/>
        </w:rPr>
        <w:t>Prace przygotowawcze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bCs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b/>
          <w:bCs/>
          <w:i w:val="false"/>
          <w:iCs w:val="false"/>
          <w:sz w:val="24"/>
          <w:szCs w:val="24"/>
          <w:u w:val="single"/>
        </w:rPr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ab/>
        <w:t>Przed przystąpieniem do zasadniczych prac  należy przeprowadzić następujące czynności przygotowawcze: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przygotowanie pomieszczenia sali gimnastycznej i odgrodzenie od pomieszczeń pozostających w użytkowaniu,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wyznaczenie komunikacji i dostępu bez kolizji z ogólną komunikacją w budynku,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wyznaczenie miejsca gromadzenia materiałów budowlanych oraz wyznaczenie miejsca gromadzenia i segregacji materiału z rozbiórek i demontażu,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odseparowanie sali gimnastycznej  w sposób zabezpieczający przed dostępem osób niepowołanych i uniemożliwiający rozprzestrzenianie materiałów budowlanych, porozbiórkowych oraz narzędzi poza wyznaczony teren,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oznaczenie tablicami ostrzegawczymi części budynku podlegającej remontowi,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sprawdzenie pomieszczenia w celu wyeliminowania istnienia niezlokalizowanych wcześniej instalacji i urządzeń, mogących ulec zniszczeniu lub stanowić zagrożenie w trakcie prowadzenia prac.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bCs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ab/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b/>
          <w:bCs/>
          <w:i w:val="false"/>
          <w:iCs w:val="false"/>
          <w:sz w:val="24"/>
          <w:szCs w:val="24"/>
          <w:u w:val="single"/>
        </w:rPr>
        <w:t xml:space="preserve">Sposób prowadzenia robót 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i w:val="false"/>
          <w:iCs w:val="false"/>
          <w:sz w:val="24"/>
          <w:szCs w:val="24"/>
          <w:u w:val="single"/>
        </w:rPr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ab/>
        <w:t>Prace należy prowadzić z zachowaniem szczególnej ostrożności i z podjęciem wszelkich kroków bezpieczeństwa. Podstawowe warunki realizacji robót obejmują niżej wymienione zalecenia.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Prace należy prowadzić przy użyciu odpowiednich narzędzi i sprzętu. Przewiduje się prowadzenie prac ręcznych, jak również z użyciem sprzętu mechanicznego / elektrycznego, a w przypadku przenoszenia i przewożenia materiałów budowlanych oraz materiałów rozbiórkowych – sprzętu ciężkiego.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Przy prowadzeniu prac należy stosować urządzenia zabezpieczające i ochronne, umożliwiające bezpieczne działanie sprzętu mechanicznego.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Pracownicy powinni być zaopatrzeni w środki ochronne jak odzież, maski, okulary, środki higieniczne.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Prace należy realizować wyłącznie po zabezpieczeniu pomieszczeń podlegających remontowi i zapewnieniu bezpieczeństwa osób postronnych.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Materiały budowlane powinny być gromadzone w pomieszczeniach podlegających remontowi lub w wyznaczonych miejscach na zewnątrz tych pomieszczeń bez dostępu osób postronnych. Materiał rozbiórkowy powinien być sukcesywnie przenoszony w wyznaczone miejsca. Nie dopuszcza się zalegania materiału w terenie prowadzenia prac.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>- Prace należy prowadzić z zachowaniem ostrożności, w ustalonej przez kierującego robotami kolejności. Prace rozbiórkowe i demontażowe należy wykonywać stopniowo bez wyrywania, obalania, podcinania dużych fragmentów, mogących uszkodzić konstrukcję przegród istniejącego budynku lub inne jego elementy.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bCs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ab/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b/>
          <w:bCs/>
          <w:i w:val="false"/>
          <w:iCs w:val="false"/>
          <w:sz w:val="24"/>
          <w:szCs w:val="24"/>
          <w:u w:val="single"/>
        </w:rPr>
        <w:t>Zagospodarowanie materiału rozbiórkowego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  <w:u w:val="single"/>
        </w:rPr>
      </w:pPr>
      <w:r>
        <w:rPr>
          <w:rFonts w:cs="Arial" w:ascii="Arial" w:hAnsi="Arial"/>
          <w:i w:val="false"/>
          <w:iCs w:val="false"/>
          <w:sz w:val="24"/>
          <w:szCs w:val="24"/>
          <w:u w:val="single"/>
        </w:rPr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  <w:tab/>
        <w:t xml:space="preserve">Wykonawca jest zobowiązany do zagospodarowania i wywiezienia odpadów powstałych w procesie rozbiórek i demontaży. Posiadacz odpadów powinien postępować z odpadami w sposób zgodny z zasadami gospodarowania odpadami oraz wymogami ochrony środowiska. Materiały z robót rozbiórkowych powinny być segregowane w miejscu ich demontażu i magazynowane selektywnie do czasu wywozu z terenu robót. Zgodnie </w:t>
      </w:r>
      <w:r>
        <w:rPr>
          <w:rFonts w:cs="Arial" w:ascii="Arial" w:hAnsi="Arial"/>
          <w:sz w:val="24"/>
          <w:szCs w:val="24"/>
        </w:rPr>
        <w:t>z Rozporządzeniem Ministra Środowiska z dnia 27 września 2001 r. w sprawie katalogu odpadów (Dz.U. Nr 112, póz. 1206) materiały z rozbiórki należą do grupy 17 - odpady z budowy, remontów i demontażu obiektów budowlanych oraz infrastruktury drogowej.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W rezultacie robót rozbiórkowych zostaną na placu rozbiórki wytworzone następujące rodzaje odpadów: 17.01.01 - gruz betonowy, 17.01.02 - gruz ceglany,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17.01.03 - odpady innych materiałów ceram. i elementów wyposażenia, 17.01.80 - usunięte tynki, 17.02.03 - tworzywa sztuczne, 17.04.05 - żelazo i stal, 17.09.04 - zmieszane odpady z demontażu, 17.02.01 – drewno.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Nie stwierdzono odpadów azbestowych. Z wytworzonych odpadów należy oddzielić te, które mogą stanowić zagrożenie dla ochrony środowiska. Wywozem i utylizacją ewentualnych elementów stanowiących zagrożenie dla środowiska, powinny zajmować się specjalistyczne firmy stosujące odpowiednio bezpieczne technologie - nie narażające ludzi w trakcie wykonywania prac i nie skażające dodatkowo otoczenia. Pozostałe odpady podlegają składowaniu na składowisku odpadów komunalnych.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iCs w:val="false"/>
          <w:sz w:val="24"/>
          <w:szCs w:val="24"/>
        </w:rPr>
      </w:pPr>
      <w:r>
        <w:rPr>
          <w:rFonts w:cs="Arial" w:ascii="Arial" w:hAnsi="Arial"/>
          <w:i w:val="false"/>
          <w:iCs w:val="false"/>
          <w:sz w:val="24"/>
          <w:szCs w:val="24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i w:val="false"/>
          <w:i w:val="false"/>
          <w:i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i w:val="false"/>
          <w:iCs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i w:val="false"/>
          <w:i w:val="false"/>
          <w:i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i w:val="false"/>
          <w:iCs w:val="false"/>
          <w:color w:val="000000"/>
          <w:sz w:val="24"/>
          <w:szCs w:val="24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i w:val="false"/>
          <w:i w:val="false"/>
          <w:iCs w:val="false"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i w:val="false"/>
          <w:iCs w:val="false"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color w:val="000000"/>
          <w:sz w:val="28"/>
          <w:szCs w:val="28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color w:val="000000"/>
          <w:sz w:val="28"/>
          <w:szCs w:val="28"/>
          <w:u w:val="single"/>
          <w:shd w:fill="auto" w:val="clear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sz w:val="28"/>
          <w:szCs w:val="28"/>
          <w:u w:val="single"/>
        </w:rPr>
      </w:pPr>
      <w:r>
        <w:rPr>
          <w:rFonts w:eastAsia="HG Mincho Light J" w:cs="Arial" w:ascii="Arial" w:hAnsi="Arial"/>
          <w:b/>
          <w:bCs/>
          <w:sz w:val="28"/>
          <w:szCs w:val="28"/>
          <w:u w:val="single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sz w:val="28"/>
          <w:szCs w:val="28"/>
          <w:u w:val="single"/>
        </w:rPr>
      </w:pPr>
      <w:r>
        <w:rPr>
          <w:rFonts w:eastAsia="HG Mincho Light J" w:cs="Arial" w:ascii="Arial" w:hAnsi="Arial"/>
          <w:b/>
          <w:bCs/>
          <w:sz w:val="28"/>
          <w:szCs w:val="28"/>
          <w:u w:val="single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sz w:val="28"/>
          <w:szCs w:val="28"/>
          <w:u w:val="single"/>
        </w:rPr>
      </w:pPr>
      <w:r>
        <w:rPr>
          <w:rFonts w:eastAsia="HG Mincho Light J" w:cs="Arial" w:ascii="Arial" w:hAnsi="Arial"/>
          <w:b/>
          <w:bCs/>
          <w:sz w:val="28"/>
          <w:szCs w:val="28"/>
          <w:u w:val="single"/>
        </w:rPr>
      </w:r>
    </w:p>
    <w:p>
      <w:pPr>
        <w:pStyle w:val="Header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HG Mincho Light J" w:cs="Arial"/>
          <w:b/>
          <w:bCs/>
          <w:sz w:val="24"/>
          <w:szCs w:val="24"/>
          <w:u w:val="single"/>
        </w:rPr>
      </w:pPr>
      <w:r>
        <w:rPr>
          <w:rFonts w:eastAsia="HG Mincho Light J" w:cs="Arial" w:ascii="Arial" w:hAnsi="Arial"/>
          <w:b/>
          <w:bCs/>
          <w:sz w:val="24"/>
          <w:szCs w:val="24"/>
          <w:u w:val="single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sz w:val="24"/>
          <w:szCs w:val="24"/>
        </w:rPr>
      </w:pPr>
      <w:r>
        <w:rPr/>
        <w:t>II. OPIS PROJEKTOWANYCH ROBÓT I DANE MATERIAŁOWE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eastAsia="HG Mincho Light J" w:cs="Arial" w:ascii="Arial" w:hAnsi="Arial"/>
          <w:b/>
          <w:bCs/>
          <w:color w:val="000000"/>
          <w:sz w:val="24"/>
          <w:szCs w:val="24"/>
          <w:u w:val="none"/>
          <w:shd w:fill="auto" w:val="clear"/>
        </w:rPr>
        <w:t>Uwaga:</w:t>
      </w:r>
      <w:r>
        <w:rPr>
          <w:rFonts w:eastAsia="HG Mincho Light J"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 xml:space="preserve"> ujęte w niniejszej części projektu informacje, dotyczące instalacji elektrycznych, sanitanych, co. i wentylacji - mają charakter informacyjny. Realizacja na podstawie projektów branżowych.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</w:pPr>
      <w:r>
        <w:rPr/>
        <w:t>1. PRACE ROZBIÓRKOWE I DEMONTAŻOWE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  <w:t>Prace demontażowe w obrębie instalacji elektrycznej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odłączenie od zasilania z rozdzielni głównej (RG),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demontaż przewodów  w obrębie sali;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demontaż gniazd, włączników, pozostałych punktów;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demontaż szafki włączników oświetlenia;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- demontaż opraw oświetlenia mocowanych do stalowego profilu utwierdzonego w stropie;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  <w:t>Prace demontażowe w obrębie instalacji sanitarnych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miejscowe zamknięcie zasilania istalacji c.o.;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demontaż grzejników;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odłączenie z pełnym demontażem  - rurociągów c.o. zaopatrujących grzejniki na sali (od rozdzielni znajdującej się w drugim skrzydle budynku);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  <w:t>Prace rozbiórkowe w obrębie elementów budowlanych i wykończenia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Demontaż skrzydeł drzwiowych i wykucie z muru ościeżnic o wym. w świetle muru 146x204cm;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Demontaż wyposażenia sportowego: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ab/>
        <w:t>- drabinki,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ab/>
        <w:t>- tablice do gry w koszykówkę,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ab/>
        <w:t>- uchwyt ścienny montażu siatki,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ab/>
        <w:t>- tuleje montażowe sprzętu, piłkochwyty,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Demontaż istniejącego wykończenia posadzki wraz z legarami (przyjęto - 396,50m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):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start="737" w:end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parkiet drewniany – 15mm,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start="737" w:end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papa,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start="737" w:end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deska podłogowa – 32mm,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start="737" w:end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legary drewniane 75mm x 75mm w dwóch poziomach i w rozastawie 1m,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start="737" w:end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papa (izolacja przeciwwilgociowa);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Likwidacja kanału instalacyjnego (w związku ze zmianą układu warstw posadzkowych i zmianą przebiegu instalacji):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ab/>
        <w:t xml:space="preserve">- demontaż sklepienia kanału z płyt betonowych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w ilośc: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40,70mb x 0,9m x 0,07m = 2,5641m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  <w:vertAlign w:val="superscript"/>
        </w:rPr>
        <w:t>3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ab/>
        <w:t xml:space="preserve">-  rozbiórka ścianki murowanej kanału; (przyjęto: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40,70mb x 1,5m x 0,25m = 15,2625m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  <w:vertAlign w:val="superscript"/>
        </w:rPr>
        <w:t>3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- Demontaż warstwy betonowej oraz warstw podbudowy posadzki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 xml:space="preserve">(w polu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352,1m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):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start="737" w:end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- warstwa betonowa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(przyjęto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0,07m x 352,1m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= 24,647m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  <w:vertAlign w:val="superscript"/>
        </w:rPr>
        <w:t>3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),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start="737" w:end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- istniejąca podbudowa wraz z warstwą gruntową przeznaczoną do usunięcia w celu wykonania nowych warstw podbudowy; 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 xml:space="preserve">razem z korytowaniem podłoża 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u w:val="none"/>
          <w:shd w:fill="auto" w:val="clear"/>
        </w:rPr>
        <w:t xml:space="preserve">pod nowe warstwy podbudowy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przyjęto:  352,10m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x 0,49m = 172,529m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),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Demontaż okładziny ściennej drewnianej (boazerii) wraz z rusztem (126,99m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Zeskrobanie  / zmycie starej farby z powierzchni ścian (561,5m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Miejscowe usunięcie tynków luźnych zniszczonych, odpadających (przyjęto 10%);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Oczyszczenie powierzchni sufitów (399,20m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Miejscowe usunięcie zniszczonych, luźnych powłok z powierzchni sufitu (przyjęto 10%);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- Oczyszczenie elementów stalowych konstrukcji kratowej i innych konstrukcji pod sufitem (359mb - główne profile konstrukcyjne, 267mb – profile o mniejszym przkroju);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Zeskrobanie odpryskującej farby z powierzchni elementów stalowych (przyjęto 5%);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Skucie parapetów (5szt. o głębokości 0,22m i długości 2,62m).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/>
        <w:t xml:space="preserve">2. ZASADNICZE PRACE REMONTOWE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u w:val="none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Zaślepienie kanału instalacyjnego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- Wykonanie ścianek zaślepiających kanał (do miejsca jego likwidacji w obrębie sali gimnastycznej); ścianki z bloczków betonowych na podbiciu betonowym. Należy wykonać: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 xml:space="preserve">- fundament betonowy z betonu B-25 W-8: (przyjęto: 2 szt. x 0,6m x 0,8m x 0,4m = </w:t>
      </w:r>
      <w:r>
        <w:rPr>
          <w:rFonts w:cs="Arial" w:ascii="Arial" w:hAnsi="Arial"/>
          <w:b/>
          <w:bCs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0,384m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  <w:vertAlign w:val="superscript"/>
        </w:rPr>
        <w:t>3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)</w:t>
      </w:r>
      <w:r>
        <w:rPr>
          <w:rFonts w:cs="Arial" w:ascii="Arial" w:hAnsi="Arial"/>
          <w:b/>
          <w:bCs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,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 xml:space="preserve">- ściana z bloczków betonowych o gr. 38cm:  (przyjęto: 2 szt. x 0,8m x 1,2m x 0,38m =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0,7296m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  <w:vertAlign w:val="superscript"/>
        </w:rPr>
        <w:t>3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),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none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Zasypanie przestrzeni kanału instalacyjnego</w:t>
      </w:r>
    </w:p>
    <w:p>
      <w:pPr>
        <w:pStyle w:val="Normal"/>
        <w:suppressAutoHyphens w:val="false"/>
        <w:spacing w:lineRule="auto" w:line="240" w:before="0" w:after="0"/>
        <w:rPr/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- Zasypanie kanału pospółką zagęszczaną warstwami po 10cm do Is=0,97 (przyjęto:</w:t>
      </w:r>
      <w:r>
        <w:rPr>
          <w:rFonts w:cs="Arial" w:ascii="Arial" w:hAnsi="Arial"/>
          <w:b/>
          <w:bCs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1,1m x 0,73m x 40,70mb = 32,6821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  <w:vertAlign w:val="superscript"/>
        </w:rPr>
        <w:t>3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)</w:t>
      </w:r>
    </w:p>
    <w:p>
      <w:pPr>
        <w:pStyle w:val="Normal"/>
        <w:suppressAutoHyphens w:val="false"/>
        <w:spacing w:lineRule="auto" w:line="240" w:before="0" w:after="0"/>
        <w:rPr/>
      </w:pPr>
      <w:r>
        <w:rPr/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position w:val="0"/>
          <w:sz w:val="24"/>
          <w:sz w:val="24"/>
          <w:szCs w:val="24"/>
          <w:u w:val="single"/>
          <w:shd w:fill="auto" w:val="clear"/>
          <w:vertAlign w:val="baseline"/>
        </w:rPr>
        <w:t>Docieplenie ściany zewnętrznej w przestrzeni likwidowanego kanału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- Zewnętrzną ścianę w przebiegu kanału instalacyjnego należy docieplić warstwą styropianu XPS (gr. 10cm) klejonego do powierzchni ściany za pomocą masy bitumicznej bezrozpuszczalnikowej np. KMB. Termoizolację wykonać po uprzednim oczyszczeniu i osuszeniu ściany oraz (względnie)  wyrównaniu większych nierówności w jej obrębie - zaprawą tynkarską. W warstwie projektowanego docieplenia uwzględnić przebieg kanałów nawiewu wentylacji posadzki i wykonać stosowne otwory.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Przyjęto: 1,11m x  41,64m = 46,22m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 – powierzchni docieplanej.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none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Projektowana posadzka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- Posadzka sportowa wykonana wg wybranego dostawcy / producenta, powinna spełniać wymogi normy PN-EN 14904:2009 / DIN 18032 cz.2 - lub normy równorzędnej.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- Poziom posadzki wykończonej – równy z poz. komunikacji przed pomieszczeniem.</w:t>
      </w:r>
    </w:p>
    <w:p>
      <w:pPr>
        <w:pStyle w:val="Normal"/>
        <w:suppressAutoHyphens w:val="false"/>
        <w:spacing w:lineRule="auto" w:line="240" w:before="0" w:after="0"/>
        <w:rPr/>
      </w:pPr>
      <w:r>
        <w:rPr/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1) Projektowana warstwa legarowa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u w:val="none"/>
          <w:shd w:fill="auto" w:val="clear"/>
        </w:rPr>
        <w:t xml:space="preserve"> (przyjęto powierzchnię realizowanych warstw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 xml:space="preserve"> - 396,50m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)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: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(Opisywane warstwy - od warstwy górnej)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wykończenie – parkiet o gr. 22mm, przeznaczony do powierzchni sportowych pokryty lakierem poliuretanowym wg powyższej wymienionej normy lub normy równorzędnej;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- 2 x płyta wiórowa frezowana - 12mm (warstwy układane na mijankę) z zacierką spoin górnej warstwy masą szpachlową / alternatywnie płyty ze sklejki (wg systemu producenta);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folia izolacyjna PE;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deska szer. 9cm w rozstawie co 7cm – o gr. 25mm (przyjęto: 0,01475m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  <w:vertAlign w:val="superscript"/>
        </w:rPr>
        <w:t>3</w:t>
      </w:r>
      <w:r>
        <w:rPr>
          <w:rFonts w:cs="Arial" w:ascii="Arial" w:hAnsi="Arial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deski na 1m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powierzchni podłogi);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legary (o szer. 9cm – lub wg systemu producenta) ze sklejki o gr.18mm w rozstawie co 50cm, układane na krzyż w dwóch warstwach (przyjęto: 4mb na 1m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pow. posadzki, co daje: 0,36m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 lub 0,00648m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  <w:vertAlign w:val="superscript"/>
        </w:rPr>
        <w:t xml:space="preserve">3 </w:t>
      </w:r>
      <w:r>
        <w:rPr>
          <w:rFonts w:cs="Arial" w:ascii="Arial" w:hAnsi="Arial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sklejki na 1m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 podłogi; 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alternatywnie stosować legary z drewna litego o gr. 25mm (w zależności od systemu producenta);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podkładka gumowa 10x10cm amortyzująca pod dolnym legarem – o gr.10mm lub wg stosowanego systemu (przyjęto: 8 szt. na 1m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podłogi);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folia izolacyjna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u w:val="none"/>
          <w:shd w:fill="auto" w:val="clear"/>
        </w:rPr>
        <w:t xml:space="preserve"> PE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2_ Projektowana warstwa wewnętrzna oraz podbudowa: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(Opisywane warstwy - od warstwy górnej)</w:t>
      </w:r>
    </w:p>
    <w:p>
      <w:pPr>
        <w:pStyle w:val="BodyText"/>
        <w:suppressAutoHyphens w:val="false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/>
          <w:sz w:val="24"/>
          <w:szCs w:val="24"/>
        </w:rPr>
        <w:t xml:space="preserve">- wylewka betonowa z betonu B-20 zbrojona przeciwskurczowo siatką posadzkową - w oddylatowanych polach 6x6m – o gr. 10cm (przyjęto: </w:t>
      </w:r>
      <w:r>
        <w:rPr>
          <w:rFonts w:cs="Arial"/>
          <w:b w:val="false"/>
          <w:bCs w:val="false"/>
          <w:sz w:val="24"/>
          <w:szCs w:val="24"/>
          <w:u w:val="none"/>
        </w:rPr>
        <w:t>0,1m x 396,50m</w:t>
      </w:r>
      <w:r>
        <w:rPr>
          <w:rFonts w:cs="Arial"/>
          <w:b w:val="false"/>
          <w:bCs w:val="false"/>
          <w:sz w:val="24"/>
          <w:szCs w:val="24"/>
          <w:u w:val="none"/>
          <w:vertAlign w:val="superscript"/>
        </w:rPr>
        <w:t xml:space="preserve">2 </w:t>
      </w:r>
      <w:r>
        <w:rPr>
          <w:rFonts w:cs="Arial"/>
          <w:b w:val="false"/>
          <w:bCs w:val="false"/>
          <w:position w:val="0"/>
          <w:sz w:val="24"/>
          <w:sz w:val="24"/>
          <w:szCs w:val="24"/>
          <w:u w:val="none"/>
          <w:vertAlign w:val="baseline"/>
        </w:rPr>
        <w:t xml:space="preserve"> = 39,65m</w:t>
      </w:r>
      <w:r>
        <w:rPr>
          <w:rFonts w:cs="Arial"/>
          <w:b w:val="false"/>
          <w:bCs w:val="false"/>
          <w:sz w:val="24"/>
          <w:szCs w:val="24"/>
          <w:u w:val="none"/>
          <w:vertAlign w:val="superscript"/>
        </w:rPr>
        <w:t>3</w:t>
      </w:r>
      <w:r>
        <w:rPr>
          <w:rFonts w:cs="Arial"/>
          <w:b w:val="false"/>
          <w:bCs w:val="false"/>
          <w:position w:val="0"/>
          <w:sz w:val="24"/>
          <w:sz w:val="24"/>
          <w:szCs w:val="24"/>
          <w:u w:val="none"/>
          <w:vertAlign w:val="baseline"/>
        </w:rPr>
        <w:t>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- warstwa styropianu XPS – o gr. 15cm (przyjęto: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0,15 x 396,50m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  <w:vertAlign w:val="superscript"/>
        </w:rPr>
        <w:t xml:space="preserve">2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 = 59,475m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  <w:vertAlign w:val="superscript"/>
        </w:rPr>
        <w:t>3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- izolacja przeciwwilgociowa - 2 x papa zgrzewalna modyfikowana (przyjęto: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396,50m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podbudowa betonowa - (B-10 / B-15) – gr. 20cm (przyjęto: 0,2 x 396,50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m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  <w:vertAlign w:val="superscript"/>
        </w:rPr>
        <w:t xml:space="preserve">2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= 79,20m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  <w:vertAlign w:val="superscript"/>
        </w:rPr>
        <w:t>3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wibroutwardzana warstwa kruszywa (piasek zagęszczany warstwami po 5cm do Is=0,98) – gr. warstwy - 20cm (przyjęto 0,2 x 366,23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m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  <w:vertAlign w:val="superscript"/>
        </w:rPr>
        <w:t xml:space="preserve">2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= 73,25m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  <w:vertAlign w:val="superscript"/>
        </w:rPr>
        <w:t>3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)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- warstwa gruntowa - grunt nośny, pozbawiony cząstek organicznych, o stopniu zagęszczenia (min.) Is=0,97</w:t>
      </w:r>
      <w:r>
        <w:rPr>
          <w:rFonts w:cs="Arial" w:ascii="Arial" w:hAnsi="Arial"/>
          <w:b/>
          <w:bCs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 (patrz uwaga zawarta w cz. III – Uwagi końcowe)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 xml:space="preserve">;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none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Wentylacja podłogi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- Wentylacja warstwy legarowej - poprzez istniejące otwory wentylacyjne w ścianach zewnętrznych. Istniejące kratki należy oczyścić i w razie konieczności udrożnić. Wylot strumienia powietrza odbywać się będzie poprzez szczeliny w listwach podłogowych usytuowanych po przeciwległej stronie.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Stopy betonowe pod montaż słupków: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- siatkarskich głównych (2 szt.),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- siatkarskich dodatkowych (2 szt.),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- bramek piłki ręcznej (4szt.),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Zaprojektowano stopy wykonane z betonu B25 o wymiarach 50x50x60(h)cm.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eastAsia="Times New Roman" w:cs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 xml:space="preserve">Zbrojenie stopy w formie siatki dolnej z prętów </w:t>
      </w:r>
      <w:r>
        <w:rPr>
          <w:rFonts w:eastAsia="Times New Roman"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Ø10 co 10cm; zbrojenie konstrukcyjne pionowe 4x Ø10; strzemiona zbrojenia pionowego – Ø6 co 15cm;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eastAsia="Times New Roman"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Stopy betonowe należy posadowić na warstwie betonu B-15 o gr. 10cm (przyjęto – 1,25m</w:t>
      </w:r>
      <w:r>
        <w:rPr>
          <w:rFonts w:eastAsia="Times New Roman"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  <w:vertAlign w:val="superscript"/>
        </w:rPr>
        <w:t>3</w:t>
      </w:r>
      <w:r>
        <w:rPr>
          <w:rFonts w:eastAsia="Times New Roman"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).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Listwy przypodłogowe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- Montaż listew (na połączeniu posadzka / ściana) – drewnianych lub duropolimerowych  z otworami wentylacyjnymi (przyjęto łącznie: 81,28mb);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none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Ściany istniejące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(Prace do realizacji po uprzedniej likwidacji zużytych powłok, oczyszczeniu i osuszeniu ścian; do prac remontowych przyjęto powierzchnię ściany - 561,5m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)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Naprawa uszkodzonych tynków za pomocą zaprawy tynkarskiej cementowo wapiennej (przyjęto 10%);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Względnie zastosowanie zapraw naprawczych do betonu przy uszkodzeniach ingerujących w konstrukcję (ptrzyjeto 10%);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Zabezpieczenie krawędzi narożników listwami aluminiowymi wtapianymi w gładź cementową (przyjęto: listwy wewnętrzne 85,04mb, listwy zewnętrzne 164,71mb);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Równanie ścian gładzią cementową  (przyjęto 561,5m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Gruntowanie ścian gruntem uniwersalnym lub preparatem dostosowanym do składu podłoża  (przyjęto 561,5m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Malowanie ścian farbą lateksową (przyjęto 561,5m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  <w:vertAlign w:val="superscript"/>
        </w:rPr>
        <w:t>2</w:t>
      </w:r>
      <w:r>
        <w:rPr>
          <w:rFonts w:cs="Arial" w:ascii="Arial" w:hAnsi="Arial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)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Parapety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- Wykonanie parapetów okiennych drewnianych  z płyty HPL o gr. 25mm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(przyjęto łącznie - 13mb parapetów o szerokości 0,27m).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Powierzchnia wewnętrzna stropu z płyt korytkowych - sufit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 xml:space="preserve"> (do prac remontowych pryjęto - 399,20m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  <w:vertAlign w:val="superscript"/>
        </w:rPr>
        <w:t>2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  <w:t>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Oczyszczenie powierzchni / względnie zagruntowanie przed ewentualnymi pracami tynkarskimi;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- Miejscowe uzupełnienia  podniszczonej struktury porowatej tynku (typu "baranek") za pomocą zaprawy tynkarskiej (przyjęto 10%);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Gruntowanie podłoża przed malowaniem;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Malowanie farbą akustyczną - dźwiękochłonną;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Konstrukcja stalowa podpierająca stropodach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- Oczyszczenie powierzchni elementów stalowych oraz malowanie farbą - antykorozyjnie i powierzchniowo; przyjęto ilość: 359mb - główne profile konstrukcyjne, 267mb – profile o mniejszym przekroju).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Wywietrzaki dachowe / sufitowe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- Oczyszczenie powierzchni blaszanych, malowanie antykorozyjne i powierzchniowe. Należy sprawdzić drożność kanałów i w razie konieczności udrożnić.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Drzwi (2 szt.)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none"/>
          <w:shd w:fill="auto" w:val="clear"/>
        </w:rPr>
        <w:t xml:space="preserve">- 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Monta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ż drzwi dwuskrzydłowych w otworze o wym. 146x204cm i minimalnej szer. przejścia skrzydła głównego 90x200cm;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Parametry drzwi: podwyższona izolacyjność akustyczna Rw-38db, wyposażenie w samozamykacz,  blokadę kąta otwarcia skrzydła (90°), próg opadający,  system uszczelnień akustycznych, wypełnienie akustyczne;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Możliwe warianty materiałowe: drewno, aluminium, PCV;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W wyniku montażu drzwi nie może powstać bariera architektoniczna w postaci wystających progów i uskoków.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 xml:space="preserve">* Nadproża (2 szt.)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W ramach wymiany drzwi zaprojektowano podwyższenie otworów do swobodnego osadzenia nowej stolarki drzwiowej.  Przewidziano ewentualny montaż nowych nadproży (2szt) w przypadku trudności wykonawczych w uzyskaniu wymaganych parametrów drzwi, wynikających ze zbyt niskiego usytuowania istniejących nadproży.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Zaprojektowano nadproża stalowe z profili UPN 200 L=190, łączonych śrubami M12 kl.5.8. Nadproża należy osadzić na poduszkach betonowych (B20). Przestrzenie wewnątrz ceowników wypełnić poprzez szpałdowanie, całość konstrukcji pokryć tynkiem cementowo – wapiennym na siatce.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i w:val="false"/>
          <w:i w:val="false"/>
          <w:iCs w:val="false"/>
          <w:strike w:val="false"/>
          <w:dstrike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i w:val="false"/>
          <w:iCs w:val="false"/>
          <w:strike w:val="false"/>
          <w:dstrike w:val="false"/>
          <w:color w:val="000000"/>
          <w:sz w:val="24"/>
          <w:szCs w:val="24"/>
          <w:u w:val="single"/>
          <w:shd w:fill="auto" w:val="clear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b/>
          <w:bCs/>
          <w:i w:val="false"/>
          <w:i w:val="false"/>
          <w:i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/>
        <w:t>3. WYPOSAŻENIE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i w:val="false"/>
          <w:i w:val="false"/>
          <w:i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/>
          <w:bCs/>
          <w:i w:val="false"/>
          <w:i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Tablice do koszykówki</w:t>
      </w: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  <w:t xml:space="preserve">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(2.szt. - wg specyfikacji wyposażenia)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- Montaż nowych tablic do gry w koszykówkę z wyposażeniem w kosz i  siatkę, wraz z konstrukcją wspornikową uchylną.  Wymiary tablicy - 180x105cm, wysokość usytuowania krawędzi dolnej – 290cm;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Długość wysięgu konstrukcji 120cm od końcowej linii boiska / ok. 180cm od konstrukcji ściany</w:t>
      </w: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  <w:t>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Mocowanie zestawu do ściany należy wykonać za pomocą kotew stalowych  M12 do zamocowań z kotwą chemiczną (np. masą kotwiącą poliestrową) – lub wg karty technicznej i zaleceń producenta.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 xml:space="preserve">Należy zastosować tablice z konstrukcją wyposażoną w połączenia przegubowe umożliwiające składanie kosza w poziomie na ścianę przy pomocy uchwytów. Zestawy powinny być wyposażone w blokadę położenia kosza – zamykaną i otwieraną poprzez pociągniecie w dół uchwytów (składanie / rozkładanie) konstrukcji).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Ponowny montaż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 istniejących tablic - do wykorzystania przy  podziale boiska na dwie części [2 szt.];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Mocowanie konstrukcji podtrzymujących tablice do ściany  za pomocą kotew stalowych  M12 do zamocowań wraz z kotwą chemiczną (np. masą kotwiącą poliestrową).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Bramki do piłki ręcznej</w:t>
      </w: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  <w:t xml:space="preserve">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(2 szt. - wg specyfikacji wyposażenia)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Montaż nowych bramek do piłki ręcznej wraz z siatką i tulejami montażowymi (2 tuleje na bramkę). Wymiary światła bramki - 300x200cm. Konstrukcja frontu bramki  stalowa z profili 80x80mm malowanych proszkowo z systemowymi połączeniami z blachy stalowej ocynkowanej. Elementy poprzeczne pionowe i poziome z profili systemowych stalowych (wg systemu producenta).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Montaż podłogowy – za pomocą tulei do wpuszczenia słupków osadzonych w podłodze i marek talerzowych  z kotwami - dodatkowo stabilizujących dolny profil poprzeczny  (ilość elementów wg systemu producenta);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Słupki do siatkówki</w:t>
      </w: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  <w:t xml:space="preserve">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 xml:space="preserve">(2 szt. - standard + 2 szt. dodatkowo – wg specyfikacji wyposażenia)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Montaż słupków do siatkówki, wraz z tulejami i deklami, z siatką i antenkami w zestawie. Słupki o profilu aluminiowym (lub wg dostawcy wybranego systemu) o średnicy 100 - 110mm z naciągiem o regulowanej wysokości siatki.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Stanowisko sędziowskie</w:t>
      </w: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  <w:t xml:space="preserve">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(1 szt. wg specyfikacji wyposażenia)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- Stanowisko sędziowskie  składane z rur aluminiowych, mocowane do słupka (trzy punkty utwierdzenia przy słupku / trzy punkty podparcia), z regulowaną wysokością usytuowania podestu sędziowskiego.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Tuleje montażowe elementów wyposażenia</w:t>
      </w: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  <w:t xml:space="preserve">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Tuleje – do montażu bramki (o przekroju 100x100mm – lub wg systemu wybranego dostawcy)</w:t>
      </w:r>
      <w:r>
        <w:rPr>
          <w:rFonts w:eastAsia="Times New Roman"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, 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zabezpieczone deklem systemowym (2szt.);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Tuleje – do montażu słupków siatkarskich (</w:t>
      </w:r>
      <w:r>
        <w:rPr>
          <w:rFonts w:eastAsia="Times New Roman" w:cs="Calibri" w:ascii="Calibri" w:hAnsi="Calibri"/>
          <w:strike w:val="false"/>
          <w:dstrike w:val="false"/>
          <w:color w:val="000000"/>
          <w:sz w:val="24"/>
          <w:szCs w:val="24"/>
          <w:shd w:fill="auto" w:val="clear"/>
        </w:rPr>
        <w:t>Ø</w:t>
      </w:r>
      <w:r>
        <w:rPr>
          <w:rFonts w:eastAsia="Times New Roman"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110 – </w:t>
      </w:r>
      <w:r>
        <w:rPr>
          <w:rFonts w:eastAsia="Times New Roman" w:cs="Calibri" w:ascii="Calibri" w:hAnsi="Calibri"/>
          <w:strike w:val="false"/>
          <w:dstrike w:val="false"/>
          <w:color w:val="000000"/>
          <w:sz w:val="24"/>
          <w:szCs w:val="24"/>
          <w:shd w:fill="auto" w:val="clear"/>
        </w:rPr>
        <w:t>Ø</w:t>
      </w:r>
      <w:r>
        <w:rPr>
          <w:rFonts w:eastAsia="Times New Roman"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120mm – lub wg systemu wybranego dostawcy) 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w standardowym wykorzystaniu (2szt.);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Tuleje dodatkowe (</w:t>
      </w:r>
      <w:r>
        <w:rPr>
          <w:rFonts w:eastAsia="Times New Roman" w:cs="Calibri" w:ascii="Calibri" w:hAnsi="Calibri"/>
          <w:strike w:val="false"/>
          <w:dstrike w:val="false"/>
          <w:color w:val="000000"/>
          <w:sz w:val="24"/>
          <w:szCs w:val="24"/>
          <w:shd w:fill="auto" w:val="clear"/>
        </w:rPr>
        <w:t>Ø</w:t>
      </w:r>
      <w:r>
        <w:rPr>
          <w:rFonts w:eastAsia="Times New Roman"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110 – </w:t>
      </w:r>
      <w:r>
        <w:rPr>
          <w:rFonts w:eastAsia="Times New Roman" w:cs="Calibri" w:ascii="Calibri" w:hAnsi="Calibri"/>
          <w:strike w:val="false"/>
          <w:dstrike w:val="false"/>
          <w:color w:val="000000"/>
          <w:sz w:val="24"/>
          <w:szCs w:val="24"/>
          <w:shd w:fill="auto" w:val="clear"/>
        </w:rPr>
        <w:t>Ø</w:t>
      </w:r>
      <w:r>
        <w:rPr>
          <w:rFonts w:eastAsia="Times New Roman"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120mm – lub wg systemu wybranego dostawcy) 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– do montażu siatki (2szt.);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Tuleje do montażu  słupków bramki i słupków siatkarskich w zestawie z deklami, wykonane ze stali z warstwą ocynku, o długości 50cm (lub wg parametrów wybranego producenta). Tuleje należy utwierdzić w stopach betonowych o wymiarach min. 50x50x60cm, wylanych pod warstwą wykończeniową posadzki.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Drabinki treningowo  - gimnastyczne</w:t>
      </w: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  <w:t xml:space="preserve">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(12 szt. wraz z zestawem uchwytów wg specyfikacji wyposażenia)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Montaż drabinek drewnianych w podwójnych modułach 180x300cm (11 szt. + jeden zestaw zapasowy). Mocowanie do ściany na śruby i uchwyty z płaskowników stalowych ocynkowanych (3 uchwyty - góra / dół / środek - na jedną belkę pionową (bocznicę) lub wg danych wybranego producenta. Długość kotew – niestandardowa, z uwzględnieniem grubości mat / paneli akustycznych montowanych na ścianach za drabinkami. Szacowana długość kotew 20cm do płaszczyzny ściany (domiar na miejscu inwestycji). Konstrukcja drabinek zbudowana z bocznic i belki środkowej o przekroju 12x4,5cm. Poprzeczki drabinki o średnicy 3,6cm.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Panele akustyczne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 xml:space="preserve"> (87,2 m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  <w:vertAlign w:val="superscript"/>
        </w:rPr>
        <w:t xml:space="preserve">2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>wg specyfikacji wyposażenia)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Montaż paneli akustycznych o gr. do 5cm - na bazie wełny mineralnej – skalnej (lub wg systemu wybranego producenta).  Należy zastosować rozwiązanie przeznaczone do obiektów sportowych z uwzględnieniem  odporności materiału na uderzenia piłką. Panele te powinny posiadać zewnętrzną warstwę wzmocnioną np. siatką z włókien syntetycznych lub inną formę zabezpieczenia (wg systemu producenta). Montaż paneli – bezpośrednio do ściany, za pomocą systemowych listew profilowych. W miejscach gniazd / włączników / elementów montażowych wyposażenia mocowanych do ściany, należy wykonać stosowne otwory w panelach akustycznych z systemowym wykończeniem ich krawędzi, lub skorygować adaptację.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Alternatywnie do paneli można zastosować maty z pianki poliuretanowej naklejane na powierzchnie ścienne (lub mocowane wg sposobu montażu dostawcy).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Rozmieszczenie izolacji akustycznej: w pasie ściennym o  wysokości 2,4m (dolna krawędź na wys. 0,8m, górna krawędź na wys. 3,2m). Powierzchnie izolowane akustycznie przyjąć na podstawie rysunku z wariantami lokalizacji. Ostatecznie szczegółową wysokość / kształt / formę - zakładanej izolacji należy dostosować do istniejących warunków, możliwości montażowych i wielkości elementów wybranego systemu.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Osłony grzejnikowe</w:t>
      </w: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  <w:t xml:space="preserve"> (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9szt. o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position w:val="0"/>
          <w:sz w:val="24"/>
          <w:sz w:val="24"/>
          <w:szCs w:val="24"/>
          <w:shd w:fill="auto" w:val="clear"/>
          <w:vertAlign w:val="baseline"/>
        </w:rPr>
        <w:t xml:space="preserve"> szacunkowych wym 2,75m x 0,80m)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Montaż (9szt.) osłon grzejnikowych z płyt HPL (18mm), wykonanych na wymiar przez wybranego dostawcę. Przewidywane wymiary frontów: 262 x 80cm (w przestrzeni okien, 266 x 80cm w przestrzeniach międzyokiennych, z docięciem pod wymiar elementów skrajnych.  Utwierdzenie elementów płytowych - do bocznych powierzchni wystających filarów ściany oraz w środkowej części osłony -  do ściany w przestrzeni grzejnika. Montaż za pomocą uchwytów systemowych ze stali ocynkowanej  (2 x każda strona + jeden uchwyt na środku ponad grzejnikiem / pod grzejnikiem – w zależności od możliwości montażu) lub wg wytycznych producenta. W wykonawczym obmiarze poszczególnych elementów należy uwzględnić: rozmiar, położenie grzejników, wysokość parapetu; (założono, iż odsunięcie osłony od ściany za grzejnikiem powinno wynosić około 25cm).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 xml:space="preserve">Siatka ochronna (piłkochwyt)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Siatka ochronna o łącznym wymiarze 8x27m (wg specyfikacji wyposażenia) wraz z zestawem elementów mocujących.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 xml:space="preserve">Zaprojektowano montaż polipropylenowych siatek sznurkowych o wielkości oczek 50x50mm wykonanych pod wymiar okien i antresoli z dobranym indywidualnie sposobem montażu.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Przewidziano 5 szt. piłkochwytów okiennych o przybliżonych wymiarach: 3,0x6,1m (chronione pole okna 2,66x5,89m) oraz siatkę chroniącą przestrzeń antresoli o przybliżonych wymiarach chronionego pola: 14,95(długość w poziomie) x 2,90m (ściana od strony okien) x 3,65m (ściana od strony korytarza).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 xml:space="preserve">Przewidziano montaż za pomocą zestawu mocującego, składającego się  ze stalowych linek powlekanych PCV, biegnących wzdłuż krawędzi chronionych pól, napiętych na wspornikach stalowych systemowych zamocowanych do ścian; podczepienie  siatki do linek za pomocą karabińczyków stalowych (w zestawie z siatką i montażem); 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Ewentualny montaż w przypadku siatek skrajnych - za pomocą uchwytów (haków stalowych utwierdzonych w ścianach) i  zaczepów sznurkowych z możliwością napinania siatki (ilość i rozkład uchwytów wg  wytycznych dostawcy systemu).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Zastosowany system montażu powinien gwarantować sztywne napięcie siatki i jej usytuowanie w odległości min. 40cm od płaszczyzny okna.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Kotara grodząca wraz z konstrukcją wsporczą</w:t>
      </w: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  <w:t xml:space="preserve">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Montaż kotary dzielącej salę na dwa niezależne pola (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o wym. 18x9m wg specyfikacji wyposażenia)</w:t>
      </w: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. Zaprojektowano kotarę wykonaną w górnej część z siatki sznurkowej polipropylenowej, dolna część do wysokości 2,5m wykonana z materiału półprzezroczystego. Projektowy wymiar płaszczyzny grodzącej: 15m x 7m. Prowadzenie / rozkładanie kotary ręczne – wg wybranego systemu.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Konstrukcję wsporczą kotary należy dostosować do indywidualnych możliwości w oparciu o system wybranego dostawcy.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Przewidziano montaż kotary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 xml:space="preserve"> z użyciem szyny prowadzącej z profilu stalowego, wraz z zestawem wózków jezdnych; szyna montowana do konstrukcji wsporczej adaptowanej pod wymiar z uwzględnieniem warunków istniejącego przekrycia sali; wykonanie na indywidualne zamówienie, przez wybranego dostawcę systemu.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Alternatywnie, przy braku możliwości zastosowania szyny prowadzącej, należy zastosować konstrukcję demontowaną, w skład której wchodzą: lina stalowa rozpięta pomiędzy ścianami sali, naciąg listwowy regulowany,  uchwyt zaczepu kotary mocowany przeciwlegle do naciągu, uchwyty stalowe zaczepienia siatki do linki, zestaw dodatkowych słupków wsporczych; wykonanie na indywidualne zamówienie, przez wybranego dostawcę systemu.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Rozpiętość kotary  i konstrukcji wsporczej  - 15m.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Zestaw do unihokeja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- Wyposażenie w zestaw składający się z: dwóch bramek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 xml:space="preserve"> (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1,15x1,60m) z siatkami oraz komplet band o wymiarach pola10x20m.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Tablice wyników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- Montaż tablic wyników z wyświetlaczami LED (2 szt.) . Montaż ścienny za pomocą uchwytów systemowych i kotew (np. M12 z kotwieniem chemicznym – 4 szt, na na tablicę). Usytuowanie na bocznej ścianie ponad drabinkami. Sterowanie zdalne pilotem lub kablowe za pomocą pulpitu sterującego.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Tabliczki informacyjne przed wejściem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- Montaż tabliczek z napisem w alfabecie Braille’a. Tabliczki ze stali szczotkowanej z grawerem lub napisami naklejanymi.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single"/>
          <w:shd w:fill="auto" w:val="clear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</w:pPr>
      <w:r>
        <w:rPr/>
        <w:t>4. PRACE W OBRĘBIE INSTALACJI ELEKTRYCZNYCH I INSTALACJI SANITARNYCH  (WYKONANIE WG PROJEKTÓW BRANŻOWYCH)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Prace w obrębie instalacji elektrycznej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Montaż tablicy rozdzielczej natynkowej (TR) wraz z osprzętem;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Montaż skrzynki XLR;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Montaż przewodu zasilającego (WLZ) z istniejącej rozdzielni głównej (RG) usytuowanej w korytarzu na parterze – przewód prowadzony w  listwach montażowych i przez przegrody;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Układanie i montaż przewodów z wyprowadzeniem zasilania: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start="680" w:end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oświetlenia,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start="680" w:end="0"/>
        <w:rPr>
          <w:rFonts w:ascii="Arial" w:hAnsi="Arial" w:cs="Arial"/>
          <w:i w:val="false"/>
          <w:i w:val="false"/>
          <w:iCs w:val="false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gniazd wtykowych,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start="680" w:end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i w:val="false"/>
          <w:iCs w:val="false"/>
          <w:strike w:val="false"/>
          <w:dstrike w:val="false"/>
          <w:color w:val="000000"/>
          <w:sz w:val="24"/>
          <w:szCs w:val="24"/>
          <w:shd w:fill="auto" w:val="clear"/>
        </w:rPr>
        <w:t>- systemu nagłośnienia (zasilanie głośników 230V i XLR),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start="680" w:end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zasilających tablice wyników,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start="680" w:end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- zasilających ekran projekcyjny elektryczny,</w:t>
      </w:r>
    </w:p>
    <w:p>
      <w:pPr>
        <w:pStyle w:val="Normal"/>
        <w:widowControl/>
        <w:suppressAutoHyphens w:val="false"/>
        <w:bidi w:val="0"/>
        <w:spacing w:lineRule="auto" w:line="240" w:before="0" w:after="0"/>
        <w:ind w:start="680" w:end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- zasilających istniejące wentylatory,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Sposób układania przewodów –</w:t>
      </w: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  <w:t xml:space="preserve"> </w:t>
      </w: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>podtynkowo, ewentualnie w miejscach gdzie jest to niemożliwe w listwach maskujących, lub w warstwie podłogowej. Doprowadzenie przewodów do zawiesi opraw oświetleniowych – zgodnie ze starą trasą, tj. po profilach istniejących utwierdzonych pod sufitem.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shd w:fill="auto" w:val="clear"/>
        </w:rPr>
        <w:t xml:space="preserve">- Montaż oświetlenia dedykowanego dla sal o większej kubatrurze / sal sportowych.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i w:val="false"/>
          <w:i w:val="false"/>
          <w:i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Montaż gniazd 230V (standard + dodatkowych na wys. 1,2 i 3,5 m – wg branży elektrycznej)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i w:val="false"/>
          <w:i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 xml:space="preserve">- Montaż niezależnych opraw oświetlenia ewakuacyjnego, 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  <w:t>- Wykonanie pomiarów elektrycznych.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u w:val="single"/>
          <w:shd w:fill="auto" w:val="clear"/>
        </w:rPr>
        <w:t>Prace w obrębie instalacji sanitarnych i wentylacji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bCs/>
          <w:strike w:val="false"/>
          <w:dstrike w:val="false"/>
          <w:color w:val="000000"/>
          <w:sz w:val="24"/>
          <w:szCs w:val="24"/>
          <w:shd w:fill="auto" w:val="clear"/>
        </w:rPr>
      </w:r>
    </w:p>
    <w:p>
      <w:pPr>
        <w:pStyle w:val="Normal"/>
        <w:suppressAutoHyphens w:val="false"/>
        <w:spacing w:lineRule="auto" w:line="240" w:before="0" w:after="0"/>
        <w:rPr>
          <w:rFonts w:ascii="Arial" w:hAnsi="Arial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- Wykonanie rurociągu zasilania grzejników – od rozdzielacza znajdującego się poza salą (prowadzenie rurociągów posadzkowo pod warstwą legarową);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eastAsia="HG Mincho Light J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- Montaż nowych grzejników z podejściem ściennym lub podłogowym;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eastAsia="HG Mincho Light J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eastAsia="HG Mincho Light J"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- Wykonanie badań szczelności instalacji c.o.;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eastAsia="HG Mincho Light J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</w:pPr>
      <w:r>
        <w:rPr>
          <w:rFonts w:eastAsia="HG Mincho Light J"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- Udrożnienie istniejących wywietrzaków dachowych;</w:t>
      </w:r>
    </w:p>
    <w:p>
      <w:pPr>
        <w:pStyle w:val="Normal"/>
        <w:suppressAutoHyphens w:val="false"/>
        <w:spacing w:lineRule="auto" w:line="240" w:before="0" w:after="0"/>
        <w:rPr>
          <w:rFonts w:ascii="Arial" w:hAnsi="Arial" w:eastAsia="Times New Roman" w:cs="Arial"/>
          <w:b w:val="false"/>
          <w:bCs w:val="false"/>
          <w:color w:val="auto"/>
          <w:sz w:val="24"/>
          <w:szCs w:val="24"/>
          <w:u w:val="none"/>
          <w:lang w:val="pl-PL" w:eastAsia="zh-CN" w:bidi="ar-SA"/>
        </w:rPr>
      </w:pPr>
      <w:r>
        <w:rPr>
          <w:rFonts w:eastAsia="HG Mincho Light J"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shd w:fill="auto" w:val="clear"/>
        </w:rPr>
        <w:t>- Montaż nawiewników okiennych;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Times New Roman" w:cs="Arial"/>
          <w:b w:val="false"/>
          <w:bCs w:val="false"/>
          <w:color w:val="auto"/>
          <w:sz w:val="24"/>
          <w:szCs w:val="24"/>
          <w:u w:val="none"/>
          <w:lang w:val="pl-PL" w:eastAsia="zh-CN" w:bidi="ar-SA"/>
        </w:rPr>
      </w:pPr>
      <w:r>
        <w:rPr>
          <w:rFonts w:eastAsia="Times New Roman" w:cs="Arial" w:ascii="Arial" w:hAnsi="Arial"/>
          <w:b w:val="false"/>
          <w:bCs w:val="false"/>
          <w:color w:val="auto"/>
          <w:sz w:val="24"/>
          <w:szCs w:val="24"/>
          <w:u w:val="none"/>
          <w:lang w:val="pl-PL" w:eastAsia="zh-CN" w:bidi="ar-SA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/>
        <w:t>5. PROPONOWANA KOLORYSTYKA I UWAGI DOTYCZĄCE STOSOWANYCH MATERIAŁÓW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none"/>
          <w:shd w:fill="auto" w:val="clear"/>
        </w:rPr>
        <w:t>Uwaga: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 xml:space="preserve"> ujęte w niniejszym opracowaniu propozycje nie narzucają kategorycznie rozwiązań kolorystycznych.  Ostatecznie kolorystykę należy ustalić na miejscu inwestycji w oparciu o palety wybranych producentów poszczególnych materiałów.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 xml:space="preserve">Do zaproponowania poszczególnych odcieni użyto standardowej palety RAL–Classic. 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/>
          <w:bCs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single"/>
          <w:shd w:fill="auto" w:val="clear"/>
        </w:rPr>
        <w:t>Proponowana kolorystyka: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Ściany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 xml:space="preserve">- Farba lateksowa w proponowanej kolorystyce: 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1) Np. RAL 9002 (grey white) – a) w pasie poziomym wokół pomieszczenia wyznaczonym przez górną linię nadproży okiennych i linię styku z sufitem; b) w pasach pionowych filarów przyokiennych i w pasach poziomych podciągów międzyokiennych - ściany południowej; c) w pasach poziomych i pionowych wyznaczonych przez krawędzie tablic koszykarskich bocznych i głównych – w ścianach: pn., wsch., i zach.;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2) Np. RAL 9003 (signal white) – w pozostałych płaszczyznach ściennych wszystkich ścian;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- Panele / maty akustyczne - RAL wg wariantów dostępnych w wybranym systemie (proponowana kolorystyka nawiązująca do przybrudzonej bieli / ecru lub kolor kontrastujący z kolorystyką ścian);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Posadzka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- Parkiet sportowy wg zastosowanego systemu, w kolorze naturalnym, pokryty lakierem poliuretanowym;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Listwy podłogowe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 xml:space="preserve">- Drewniane lub polimerowe w odcieniu nawiązującym do kolorystyki podłogi; 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Sufit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- Farba akustyczna w kolorze nawiązującym do kolorystyki ścian np. RAL 9002 lub RAL 9003 (lub zbliżonym);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Elementy konstrukcji stalowych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singl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- Farba antykorozyjna / farba wierzchnia w kolorystyce – np. RAL 7042 Traffic grey A;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single"/>
          <w:shd w:fill="auto" w:val="clear"/>
        </w:rPr>
        <w:t>Drzwi</w:t>
      </w: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: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  <w:t>- wg projektowanych parametrów w kolorystyce np. RAL 7040 window grey;</w:t>
      </w:r>
    </w:p>
    <w:p>
      <w:pPr>
        <w:pStyle w:val="Normal"/>
        <w:suppressAutoHyphens w:val="false"/>
        <w:spacing w:lineRule="auto" w:line="24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  <w:shd w:fill="auto" w:val="clear"/>
        </w:rPr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u w:val="single"/>
        </w:rPr>
      </w:pPr>
      <w:r>
        <w:rPr>
          <w:rFonts w:cs="Arial" w:ascii="Arial" w:hAnsi="Arial"/>
          <w:b/>
          <w:bCs/>
          <w:u w:val="single"/>
        </w:rPr>
        <w:t>Uwagi ogólne dotyczące stosowanych materiałów wykończeniowych i wyposażenia</w:t>
      </w:r>
    </w:p>
    <w:p>
      <w:pPr>
        <w:pStyle w:val="Normal"/>
        <w:suppressAutoHyphens w:val="false"/>
        <w:spacing w:lineRule="auto" w:line="240"/>
        <w:rPr>
          <w:rFonts w:ascii="Arial" w:hAnsi="Arial" w:cs="Arial"/>
          <w:b/>
          <w:bCs/>
          <w:u w:val="single"/>
        </w:rPr>
      </w:pPr>
      <w:r>
        <w:rPr>
          <w:rFonts w:cs="Arial" w:ascii="Arial" w:hAnsi="Arial"/>
          <w:b/>
          <w:bCs/>
          <w:u w:val="single"/>
        </w:rPr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Zastosowane w pracach remontowych materiały powinny spełniać wymogi prawne, normatywne, w tym BHP z uwzględnieniem stosowania w pomieszczeniach szkolnych oraz zapewnić bezpieczeństwo użytkowania, trwałość i odpowiednią jakość.</w:t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Materiały nie mogą emitować substancji szkodliwych dla zdrowia (np. formaldehydów, lotnych związków organicznych – LZO, itp);</w:t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Materiały powinny być trwałe i nie stwarzać zagrożeń w codziennym użytkowaniu, odporne na uszkodzenia mechaniczne, wilgoć i inne czynniki zewnętrzne;</w:t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Powierzchnie wykończeniowe  ścian, podłóg i sufitów powinny być  łatwe do czyszczenia i dezynfekcji (odporne na środki dezynfekcyjne) oraz pozbawione ubytków, aby zapobiegać gromadzeniu się brudu, kurzu, bakterii i wirusów;</w:t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Należy stosować materiały o wysokim wskaźniku jakości, oraz materiały, które minimalizują negatywny wpływ na środowisko naturalne;</w:t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Podłogi muszą być antypoślizgowe, aby minimalizować ryzyko upadków;</w:t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Materiały powinny być wytrzymałe na intensywne użytkowanie i łatwe do utrzymania w czystości, co jest istotne w warunkach szkolnych;</w:t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Wyroby używane w placówkach oświatowych powinny posiadać odpowiednie certyfikaty i atesty higieniczne, dopuszczające je do stosowania w budynkach użyteczności publicznej;</w:t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Stosowane materiały powinny posiadać właściwości niepalne lub trudno zapalne, o niskiej emisji dymu i braku kapiących elementów.</w:t>
      </w:r>
    </w:p>
    <w:p>
      <w:pPr>
        <w:pStyle w:val="Normal"/>
        <w:suppressAutoHyphens w:val="false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-</w:t>
        <w:tab/>
        <w:t>Projektowane elementy: sprzęt, wyposażenie, urządzenia sportowe, powinny posiadać odpowiednie certyfikaty dopuszczające oraz spełniać obowiązujące normy (w zakresie funkcjonalności, bezpieczeństwa i metody badań), wymienione poniżej lub równorzędne, odnoszące się do tych samych działów:</w:t>
      </w:r>
    </w:p>
    <w:p>
      <w:pPr>
        <w:pStyle w:val="Normal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PN-EN 749:2006/Ap1:2009 - Sprzęt boiskowy - Bramki do piłki ręcznej / lub norma równorzędna;</w:t>
      </w:r>
    </w:p>
    <w:p>
      <w:pPr>
        <w:pStyle w:val="Normal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PN-EN 913:2008 - Sprzęt gimnastyczny / lub norma równorzędna;</w:t>
      </w:r>
    </w:p>
    <w:p>
      <w:pPr>
        <w:pStyle w:val="Normal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PN-EN 1270:2006 - Sprzęt boiskowy - Sprzęt do koszykówki / lub norma równorzędna (oraz konstrukcje z profili stalowych do wysięgu wspornikowego tablic - wg normy PN-EN 10219 lub wg normy równorzędnej);</w:t>
      </w:r>
    </w:p>
    <w:p>
      <w:pPr>
        <w:pStyle w:val="Normal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PN-EN 1271:2006 - Sprzęt boiskowy - Sprzęt do siatkówki / lub norma równorzędna;</w:t>
      </w:r>
    </w:p>
    <w:p>
      <w:pPr>
        <w:pStyle w:val="Normal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PN-EN 1509:2008 - Sprzęt boiskowy - Sprzęt do badmintona / lub norma równorzędna;</w:t>
      </w:r>
    </w:p>
    <w:p>
      <w:pPr>
        <w:pStyle w:val="Normal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 xml:space="preserve">PN-EN 12346:2001 - Sprzęt gimnastyczny - Drabinki przyścienne, drabinki kratowe i drabinki do wspinania się / lub norma równorzędna; </w:t>
      </w:r>
    </w:p>
    <w:p>
      <w:pPr>
        <w:pStyle w:val="Normal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PN-EN 15312+A1:2010 - Ogólnie dostępny sprzęt do uprawiania wielu dyscyplin sportowych / lub norma równorzędna;</w:t>
      </w:r>
    </w:p>
    <w:p>
      <w:pPr>
        <w:pStyle w:val="Normal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PN-EN 913+A1:2022-02 - Sprzęt gimnastyczny / lub norma równorzędna;</w:t>
      </w:r>
    </w:p>
    <w:p>
      <w:pPr>
        <w:pStyle w:val="Normal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PN-EN 17435:2022-05 - Nawierzchnie terenów sportowych / lub norma równorzędna;</w:t>
      </w:r>
    </w:p>
    <w:p>
      <w:pPr>
        <w:pStyle w:val="Normal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color w:val="000000"/>
          <w:sz w:val="24"/>
          <w:szCs w:val="24"/>
        </w:rPr>
        <w:t>PN-EN 14904:2009 / DIN 18032 cz.2 - Nawierzchnie sportowe wewnętrzne / lub norma równorzędna;</w:t>
      </w:r>
    </w:p>
    <w:p>
      <w:pPr>
        <w:pStyle w:val="Normal"/>
        <w:spacing w:before="0" w:after="120"/>
        <w:ind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000000"/>
          <w:sz w:val="24"/>
          <w:szCs w:val="24"/>
          <w:shd w:fill="auto" w:val="clear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b/>
          <w:color w:val="FF0000"/>
          <w:sz w:val="24"/>
          <w:szCs w:val="24"/>
          <w:shd w:fill="auto" w:val="clear"/>
        </w:rPr>
      </w:pPr>
      <w:r>
        <w:rPr/>
        <w:t>III UWAGI KOŃCOWE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/>
          <w:color w:val="FF0000"/>
          <w:sz w:val="24"/>
          <w:szCs w:val="24"/>
          <w:shd w:fill="auto" w:val="clear"/>
        </w:rPr>
      </w:pPr>
      <w:r>
        <w:rPr>
          <w:rFonts w:cs="Arial" w:ascii="Arial" w:hAnsi="Arial"/>
          <w:b/>
          <w:color w:val="FF0000"/>
          <w:sz w:val="24"/>
          <w:szCs w:val="24"/>
          <w:shd w:fill="auto" w:val="clear"/>
        </w:rPr>
      </w:r>
    </w:p>
    <w:p>
      <w:pPr>
        <w:pStyle w:val="Header"/>
        <w:widowControl/>
        <w:numPr>
          <w:ilvl w:val="0"/>
          <w:numId w:val="0"/>
        </w:numPr>
        <w:tabs>
          <w:tab w:val="clear" w:pos="4536"/>
          <w:tab w:val="right" w:pos="9072" w:leader="none"/>
        </w:tabs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- Wszystkie projektowane prace należy wykonywać stosując się do zasad określonych w „Warunkach technicznych wykonania i odbioru robót budowlano montażowych” , ITB , pod stałym nadzorem osoby upoważnionej przez inwestora do nadzorowania pracami budowlanymi oraz z zachowaniem stosownych przepisów BHP i p.poż. w zakresie wynikającym z prowadzonego rodzaju robót.</w:t>
      </w:r>
    </w:p>
    <w:p>
      <w:pPr>
        <w:pStyle w:val="Header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- Stosowane materiały winny posiadać wymagane aktualne atesty, certyfikaty i aprobaty techniczne, upoważniające do stosowania w budownictwie, wydane przez właściwe jednostki aprobujące, zgodnie z Rozporządzeniem Ministra Gospodarki  Przestrzennej i Budownictwa w sprawie aprobat i kryteriów technicznych dotyczących wyrobów budowlanych.</w:t>
      </w:r>
    </w:p>
    <w:p>
      <w:pPr>
        <w:pStyle w:val="Header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- Dopuszcza się w realizacji inwestycji zastosowanie innych materiałów, urządzeń i rozwiązań pod warunkiem zachowania ich równorzędności w stosunku do wskazanych w projekcie, i posiadających  nie gorsze parametry techniczne i właściwości. Przed wprowadzeniem zmian należy uzyskać akceptację Projektanta i Inwestora.</w:t>
      </w:r>
    </w:p>
    <w:p>
      <w:pPr>
        <w:pStyle w:val="Header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 xml:space="preserve">- Za jakiekolwiek zmiany dokonane bez Projektantów, Autorzy projektu nie ponoszą odpowiedzialności. </w:t>
      </w:r>
    </w:p>
    <w:p>
      <w:pPr>
        <w:pStyle w:val="Header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 xml:space="preserve">- Przed przystąpieniem do prac wykonawca ma obowiązek sprawdzić w naturze wymiary przedmiotowych pomieszczeń i poszczególnych elementów. </w:t>
      </w:r>
      <w:r>
        <w:rPr>
          <w:rFonts w:cs="Arial" w:ascii="Arial" w:hAnsi="Arial"/>
          <w:b w:val="false"/>
          <w:bCs w:val="false"/>
          <w:sz w:val="24"/>
          <w:szCs w:val="24"/>
          <w:u w:val="single"/>
        </w:rPr>
        <w:t xml:space="preserve">Wskazane w projekcie obmiary, ilości poszczególnych materiałów, wszystkich elementów i powierzchni należy sprawdzić i powtórnie przeliczyć na miejscu inwestycji, dokonując pomiarów i obliczeń z uwzględnieniem nadwyżek i strat wykonawczych. </w:t>
      </w:r>
    </w:p>
    <w:p>
      <w:pPr>
        <w:pStyle w:val="Header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- W przypadku stwierdzenia w trakcie prowadzenia robót, innych elementów, lub innego stanu poszczególnych materiałów i struktur, uniemożliwiających  lub utrudniających prowadzenie prac w zakładany w dokumentacji sposób, należy zastosować rozwiązania zamienne po uzgodnieniu ich z Inwestorem i Projektantem.</w:t>
      </w:r>
    </w:p>
    <w:p>
      <w:pPr>
        <w:pStyle w:val="Header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 xml:space="preserve">- Szczególną uwagę należy zwrócić  przy robotach w obrębie posadzki i przed przystąpieniem do układania podbudowy dokonać analizy i oceny warstw gruntowych. Należy poprzez konsultację geotechniczną (geologiczną) potwierdzić zdatność odkrytej warstwy do bezpośredniego układania podbudowy i dalszych warstw posadzkowych. </w:t>
      </w:r>
      <w:r>
        <w:rPr>
          <w:rFonts w:cs="Arial" w:ascii="Arial" w:hAnsi="Arial"/>
          <w:b w:val="false"/>
          <w:bCs w:val="false"/>
          <w:sz w:val="24"/>
          <w:szCs w:val="24"/>
          <w:u w:val="single"/>
        </w:rPr>
        <w:t>W przypadku występowania gleby nieskonsolidowanej, słabo nośnej, czy o właściwościach organicznych, należy dokonać odpowiedniej wymiany gruntu na podstawie zaleceń geotechnicznych.</w:t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shd w:fill="auto" w:val="clear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</w:r>
    </w:p>
    <w:p>
      <w:pPr>
        <w:pStyle w:val="ListParagraph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sz w:val="24"/>
          <w:szCs w:val="24"/>
          <w:u w:val="single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shd w:fill="auto" w:val="clear"/>
        </w:rPr>
        <w:t>Opracowanie</w:t>
      </w:r>
    </w:p>
    <w:tbl>
      <w:tblPr>
        <w:tblW w:w="9056" w:type="dxa"/>
        <w:jc w:val="start"/>
        <w:tblInd w:w="55" w:type="dxa"/>
        <w:tblLayout w:type="fixed"/>
        <w:tblCellMar>
          <w:top w:w="55" w:type="dxa"/>
          <w:start w:w="55" w:type="dxa"/>
          <w:bottom w:w="55" w:type="dxa"/>
          <w:end w:w="55" w:type="dxa"/>
        </w:tblCellMar>
      </w:tblPr>
      <w:tblGrid>
        <w:gridCol w:w="6401"/>
        <w:gridCol w:w="2654"/>
      </w:tblGrid>
      <w:tr>
        <w:trPr/>
        <w:tc>
          <w:tcPr>
            <w:tcW w:w="6401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uppressAutoHyphens w:val="false"/>
              <w:spacing w:lineRule="auto" w:line="240" w:before="0" w:after="0"/>
              <w:jc w:val="star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sz w:val="24"/>
                <w:szCs w:val="24"/>
                <w:u w:val="single"/>
              </w:rPr>
              <w:t>Projektant:</w:t>
            </w:r>
          </w:p>
          <w:p>
            <w:pPr>
              <w:pStyle w:val="Zawartotabeli"/>
              <w:suppressAutoHyphens w:val="false"/>
              <w:spacing w:lineRule="auto" w:line="240" w:before="0" w:after="0"/>
              <w:jc w:val="star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sz w:val="24"/>
                <w:szCs w:val="24"/>
              </w:rPr>
              <w:t>MGR INŻ. ARCH. HUBERT A. CIESIELSKI</w:t>
            </w:r>
          </w:p>
          <w:p>
            <w:pPr>
              <w:pStyle w:val="Zawartotabeli"/>
              <w:suppressAutoHyphens w:val="false"/>
              <w:spacing w:lineRule="auto" w:line="240" w:before="0" w:after="0"/>
              <w:jc w:val="star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sz w:val="24"/>
                <w:szCs w:val="24"/>
              </w:rPr>
              <w:t>upr. bud. w spec. architektonicznej nr 16/PDOKK/2014</w:t>
            </w:r>
          </w:p>
        </w:tc>
        <w:tc>
          <w:tcPr>
            <w:tcW w:w="2654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uppressAutoHyphens w:val="false"/>
              <w:snapToGrid w:val="false"/>
              <w:spacing w:lineRule="auto" w:line="240" w:before="0" w:after="0"/>
              <w:jc w:val="star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sz w:val="24"/>
                <w:szCs w:val="24"/>
              </w:rPr>
            </w:r>
          </w:p>
        </w:tc>
      </w:tr>
      <w:tr>
        <w:trPr/>
        <w:tc>
          <w:tcPr>
            <w:tcW w:w="6401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uppressAutoHyphens w:val="false"/>
              <w:spacing w:lineRule="auto" w:line="240" w:before="0" w:after="0"/>
              <w:jc w:val="star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sz w:val="24"/>
                <w:szCs w:val="24"/>
                <w:u w:val="single"/>
              </w:rPr>
              <w:t>Współpraca - opracowujący:</w:t>
            </w:r>
          </w:p>
          <w:p>
            <w:pPr>
              <w:pStyle w:val="Zawartotabeli"/>
              <w:suppressAutoHyphens w:val="false"/>
              <w:spacing w:lineRule="auto" w:line="240" w:before="0" w:after="0"/>
              <w:jc w:val="star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sz w:val="24"/>
                <w:szCs w:val="24"/>
              </w:rPr>
              <w:t>MGR INŻ. ARCH. ŁUKASZ WOJTYSIAK</w:t>
            </w:r>
          </w:p>
        </w:tc>
        <w:tc>
          <w:tcPr>
            <w:tcW w:w="2654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uppressAutoHyphens w:val="false"/>
              <w:snapToGrid w:val="false"/>
              <w:spacing w:lineRule="auto" w:line="240" w:before="0" w:after="0"/>
              <w:jc w:val="star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sz w:val="24"/>
                <w:szCs w:val="24"/>
              </w:rPr>
            </w:r>
          </w:p>
        </w:tc>
      </w:tr>
    </w:tbl>
    <w:p>
      <w:pPr>
        <w:pStyle w:val="Normal"/>
        <w:widowControl/>
        <w:numPr>
          <w:ilvl w:val="0"/>
          <w:numId w:val="0"/>
        </w:numPr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/>
          <w:bCs/>
          <w:sz w:val="24"/>
          <w:szCs w:val="24"/>
          <w:u w:val="none"/>
        </w:rPr>
      </w:pPr>
      <w:r>
        <w:rPr>
          <w:rFonts w:cs="Arial" w:ascii="Arial" w:hAnsi="Arial"/>
          <w:b/>
          <w:bCs/>
          <w:sz w:val="24"/>
          <w:szCs w:val="24"/>
          <w:u w:val="none"/>
        </w:rPr>
      </w:r>
    </w:p>
    <w:sectPr>
      <w:headerReference w:type="default" r:id="rId5"/>
      <w:headerReference w:type="first" r:id="rId6"/>
      <w:footerReference w:type="default" r:id="rId7"/>
      <w:footerReference w:type="first" r:id="rId8"/>
      <w:type w:val="nextPage"/>
      <w:pgSz w:w="11906" w:h="16838"/>
      <w:pgMar w:left="1814" w:right="907" w:gutter="0" w:header="567" w:top="2074" w:footer="567" w:bottom="845"/>
      <w:pgNumType w:fmt="decimal"/>
      <w:formProt w:val="false"/>
      <w:titlePg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 w:characterSet="windows-1252"/>
    <w:family w:val="roman"/>
    <w:pitch w:val="variable"/>
  </w:font>
  <w:font w:name="Symbol">
    <w:charset w:val="02"/>
    <w:family w:val="roman"/>
    <w:pitch w:val="variable"/>
  </w:font>
  <w:font w:name="Arial">
    <w:charset w:val="00" w:characterSet="windows-1252"/>
    <w:family w:val="swiss"/>
    <w:pitch w:val="variable"/>
  </w:font>
  <w:font w:name="Liberation Serif">
    <w:altName w:val="Times New Roman"/>
    <w:charset w:val="ee" w:characterSet="windows-1250"/>
    <w:family w:val="roman"/>
    <w:pitch w:val="variable"/>
  </w:font>
  <w:font w:name="Times New Roman">
    <w:charset w:val="ee" w:characterSet="windows-1250"/>
    <w:family w:val="roman"/>
    <w:pitch w:val="variable"/>
  </w:font>
  <w:font w:name="Arial">
    <w:charset w:val="ee" w:characterSet="windows-1250"/>
    <w:family w:val="roman"/>
    <w:pitch w:val="variable"/>
  </w:font>
  <w:font w:name="Symbol">
    <w:charset w:val="ee" w:characterSet="windows-1250"/>
    <w:family w:val="roman"/>
    <w:pitch w:val="variable"/>
  </w:font>
  <w:font w:name="Courier New">
    <w:charset w:val="ee" w:characterSet="windows-1250"/>
    <w:family w:val="roman"/>
    <w:pitch w:val="variable"/>
  </w:font>
  <w:font w:name="Wingdings">
    <w:charset w:val="ee" w:characterSet="windows-1250"/>
    <w:family w:val="roman"/>
    <w:pitch w:val="variable"/>
  </w:font>
  <w:font w:name="OpenSymbol">
    <w:altName w:val="Arial Unicode MS"/>
    <w:charset w:val="ee" w:characterSet="windows-1250"/>
    <w:family w:val="roman"/>
    <w:pitch w:val="variable"/>
  </w:font>
  <w:font w:name="Liberation Sans">
    <w:altName w:val="Arial"/>
    <w:charset w:val="ee" w:characterSet="windows-1250"/>
    <w:family w:val="roman"/>
    <w:pitch w:val="variable"/>
  </w:font>
  <w:font w:name="Calibri">
    <w:charset w:val="ee" w:characterSet="windows-1250"/>
    <w:family w:val="roman"/>
    <w:pitch w:val="variable"/>
  </w:font>
  <w:font w:name="Bahnschrift Light Condensed">
    <w:charset w:val="ee" w:characterSet="windows-1250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/>
    </w:pPr>
    <w:bookmarkStart w:id="0" w:name="PageNumWizard_FOOTER_Domyślny_styl_stron"/>
    <w:r>
      <w:rPr/>
      <w:fldChar w:fldCharType="begin"/>
    </w:r>
    <w:r>
      <w:rPr/>
      <w:instrText xml:space="preserve"> PAGE </w:instrText>
    </w:r>
    <w:r>
      <w:rPr/>
      <w:fldChar w:fldCharType="separate"/>
    </w:r>
    <w:r>
      <w:rPr/>
      <w:t>22</w:t>
    </w:r>
    <w:r>
      <w:rPr/>
      <w:fldChar w:fldCharType="end"/>
    </w:r>
    <w:bookmarkEnd w:id="0"/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>
        <w:rFonts w:ascii="Bahnschrift Light Condensed" w:hAnsi="Bahnschrift Light Condensed" w:cs="Bahnschrift Light Condensed"/>
      </w:rPr>
    </w:pPr>
    <w:r>
      <w:rPr>
        <w:rFonts w:cs="Bahnschrift Light Condensed" w:ascii="Bahnschrift Light Condensed" w:hAnsi="Bahnschrift Light Condensed"/>
      </w:rPr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none"/>
      </w:rPr>
    </w:pPr>
    <w:r>
      <w:rPr>
        <w:rFonts w:cs="Bahnschrift Light Condensed" w:ascii="Bahnschrift Light Condensed" w:hAnsi="Bahnschrift Light Condensed"/>
        <w:b/>
        <w:bCs/>
        <w:i w:val="false"/>
        <w:iCs w:val="false"/>
        <w:color w:val="000000"/>
        <w:sz w:val="24"/>
        <w:szCs w:val="24"/>
        <w:u w:val="single"/>
      </w:rPr>
      <w:t>Dokumentacja realizowana w ramach projektu: „Modernizacja pracowni warsztatowych do potrzeb zdobycia kwalifikacji branżowych na nowoczesnym rynku pracy mechanizacji rolnictwa” (Budynek-B)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Wykonawca opracowania: 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 xml:space="preserve"> SPPH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 xml:space="preserve"> „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>FEST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>”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6"/>
        <w:szCs w:val="36"/>
        <w:u w:val="none"/>
      </w:rPr>
      <w:t xml:space="preserve">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 - ul. Baczyńskiego 31,  99-400  Łowicz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000000"/>
        <w:sz w:val="12"/>
        <w:szCs w:val="12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single"/>
      </w:rPr>
      <w:t xml:space="preserve">kontakt - mgr inż. arch. Łukasz Wojtysiak, tel:  606 632 999, e-mail: </w:t>
    </w:r>
    <w:hyperlink r:id="rId1">
      <w:r>
        <w:rPr>
          <w:rStyle w:val="Hyperlink"/>
          <w:rFonts w:cs="Bahnschrift Light Condensed" w:ascii="Bahnschrift Light Condensed" w:hAnsi="Bahnschrift Light Condensed"/>
          <w:b w:val="false"/>
          <w:bCs w:val="false"/>
          <w:i w:val="false"/>
          <w:iCs w:val="false"/>
          <w:color w:val="666666"/>
          <w:sz w:val="24"/>
          <w:szCs w:val="24"/>
          <w:u w:val="single"/>
        </w:rPr>
        <w:t>wokasz@wp.pl</w:t>
      </w:r>
    </w:hyperlink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single"/>
      </w:rPr>
      <w:t xml:space="preserve"> 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000000"/>
        <w:sz w:val="12"/>
        <w:szCs w:val="12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000000"/>
        <w:sz w:val="12"/>
        <w:szCs w:val="12"/>
        <w:u w:val="single"/>
      </w:rPr>
      <w:t>______________________________________________________________________________________________________________________________________________________________________________________________________________________________________</w:t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none"/>
      </w:rPr>
    </w:pPr>
    <w:r>
      <w:rPr>
        <w:rFonts w:cs="Bahnschrift Light Condensed" w:ascii="Bahnschrift Light Condensed" w:hAnsi="Bahnschrift Light Condensed"/>
        <w:b/>
        <w:bCs/>
        <w:i w:val="false"/>
        <w:iCs w:val="false"/>
        <w:color w:val="000000"/>
        <w:sz w:val="24"/>
        <w:szCs w:val="24"/>
        <w:u w:val="single"/>
      </w:rPr>
      <w:t>Dokumentacja realizowana w ramach projektu: „Modernizacja pracowni warsztatowych do potrzeb zdobycia kwalifikacji branżowych na nowoczesnym rynku pracy mechanizacji rolnictwa” (Budynek-B)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Wykonawca opracowania: 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 xml:space="preserve"> SPPH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 xml:space="preserve"> „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>FEST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>”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6"/>
        <w:szCs w:val="36"/>
        <w:u w:val="none"/>
      </w:rPr>
      <w:t xml:space="preserve">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 - ul. Baczyńskiego 31,  99-400  Łowicz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single"/>
      </w:rPr>
      <w:t>kontakt - mgr inż. arch. Łukasz Wojtysiak, tel:  606 632 999, e-mail: wokasz@wp.pl</w:t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1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2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3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4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5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6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7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8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</w:abstractNum>
  <w:abstractNum w:abstractNumId="2">
    <w:lvl w:ilvl="0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1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2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3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4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5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6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7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8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</w:abstractNum>
  <w:num w:numId="1">
    <w:abstractNumId w:val="1"/>
  </w:num>
  <w:num w:numId="2">
    <w:abstractNumId w:val="2"/>
  </w:num>
</w:numbering>
</file>

<file path=word/settings.xml><?xml version="1.0" encoding="utf-8"?>
<w:settings xmlns:w="http://schemas.openxmlformats.org/wordprocessingml/2006/main">
  <w:zoom w:percent="113"/>
  <w:displayBackgroundShape/>
  <w:defaultTabStop w:val="708"/>
  <w:autoHyphenation w:val="true"/>
  <w:compat>
    <w:doNotBreakWrappedTables/>
    <w:compatSetting w:name="compatibilityMode" w:uri="http://schemas.microsoft.com/office/word" w:val="11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NSimSun" w:cs="Arial"/>
        <w:sz w:val="24"/>
        <w:szCs w:val="24"/>
        <w:lang w:val="pl-PL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suppressAutoHyphens w:val="true"/>
      <w:bidi w:val="0"/>
      <w:spacing w:before="0" w:after="0"/>
      <w:jc w:val="start"/>
    </w:pPr>
    <w:rPr>
      <w:rFonts w:ascii="Times New Roman" w:hAnsi="Times New Roman" w:eastAsia="Times New Roman" w:cs="Times New Roman"/>
      <w:color w:val="auto"/>
      <w:kern w:val="0"/>
      <w:sz w:val="24"/>
      <w:szCs w:val="24"/>
      <w:lang w:val="pl-PL" w:eastAsia="zh-CN" w:bidi="ar-SA"/>
    </w:rPr>
  </w:style>
  <w:style w:type="paragraph" w:styleId="Heading1">
    <w:name w:val="Heading 1"/>
    <w:basedOn w:val="Normal"/>
    <w:next w:val="Normal"/>
    <w:qFormat/>
    <w:pPr>
      <w:keepNext w:val="true"/>
      <w:numPr>
        <w:ilvl w:val="0"/>
        <w:numId w:val="1"/>
      </w:numPr>
      <w:jc w:val="center"/>
      <w:outlineLvl w:val="0"/>
    </w:pPr>
    <w:rPr>
      <w:b/>
      <w:bCs/>
      <w:caps/>
      <w:sz w:val="28"/>
      <w:u w:val="single"/>
    </w:rPr>
  </w:style>
  <w:style w:type="paragraph" w:styleId="Heading2">
    <w:name w:val="Heading 2"/>
    <w:basedOn w:val="Normal"/>
    <w:next w:val="Normal"/>
    <w:qFormat/>
    <w:pPr>
      <w:keepNext w:val="true"/>
      <w:numPr>
        <w:ilvl w:val="1"/>
        <w:numId w:val="1"/>
      </w:numPr>
      <w:suppressAutoHyphens w:val="false"/>
      <w:jc w:val="start"/>
      <w:outlineLvl w:val="1"/>
    </w:pPr>
    <w:rPr>
      <w:rFonts w:ascii="Arial" w:hAnsi="Arial"/>
      <w:b/>
      <w:sz w:val="24"/>
      <w:szCs w:val="20"/>
      <w:u w:val="single"/>
    </w:rPr>
  </w:style>
  <w:style w:type="paragraph" w:styleId="Heading3">
    <w:name w:val="Heading 3"/>
    <w:basedOn w:val="Normal"/>
    <w:next w:val="Normal"/>
    <w:qFormat/>
    <w:pPr>
      <w:keepNext w:val="true"/>
      <w:numPr>
        <w:ilvl w:val="2"/>
        <w:numId w:val="1"/>
      </w:numPr>
      <w:outlineLvl w:val="2"/>
    </w:pPr>
    <w:rPr>
      <w:sz w:val="28"/>
    </w:rPr>
  </w:style>
  <w:style w:type="paragraph" w:styleId="Heading4">
    <w:name w:val="Heading 4"/>
    <w:basedOn w:val="Normal"/>
    <w:next w:val="Normal"/>
    <w:qFormat/>
    <w:pPr>
      <w:keepNext w:val="true"/>
      <w:numPr>
        <w:ilvl w:val="3"/>
        <w:numId w:val="1"/>
      </w:numPr>
      <w:shd w:val="clear" w:fill="FFFFFF"/>
      <w:tabs>
        <w:tab w:val="clear" w:pos="708"/>
        <w:tab w:val="left" w:pos="0" w:leader="none"/>
      </w:tabs>
      <w:ind w:hanging="0" w:start="0" w:end="72"/>
      <w:jc w:val="both"/>
      <w:outlineLvl w:val="3"/>
    </w:pPr>
    <w:rPr>
      <w:rFonts w:ascii="Arial" w:hAnsi="Arial" w:cs="Arial"/>
      <w:b/>
      <w:bCs/>
    </w:rPr>
  </w:style>
  <w:style w:type="paragraph" w:styleId="Heading5">
    <w:name w:val="Heading 5"/>
    <w:basedOn w:val="Normal"/>
    <w:next w:val="Normal"/>
    <w:qFormat/>
    <w:pPr>
      <w:keepNext w:val="true"/>
      <w:numPr>
        <w:ilvl w:val="4"/>
        <w:numId w:val="1"/>
      </w:numPr>
      <w:jc w:val="center"/>
      <w:outlineLvl w:val="4"/>
    </w:pPr>
    <w:rPr>
      <w:szCs w:val="20"/>
    </w:rPr>
  </w:style>
  <w:style w:type="paragraph" w:styleId="Heading6">
    <w:name w:val="Heading 6"/>
    <w:basedOn w:val="Normal"/>
    <w:next w:val="Normal"/>
    <w:qFormat/>
    <w:pPr>
      <w:keepNext w:val="true"/>
      <w:numPr>
        <w:ilvl w:val="5"/>
        <w:numId w:val="1"/>
      </w:numPr>
      <w:shd w:val="clear" w:fill="FFFFFF"/>
      <w:ind w:hanging="0" w:start="1123" w:end="0"/>
      <w:jc w:val="both"/>
      <w:outlineLvl w:val="5"/>
    </w:pPr>
    <w:rPr>
      <w:b/>
      <w:bCs/>
      <w:sz w:val="32"/>
    </w:rPr>
  </w:style>
  <w:style w:type="paragraph" w:styleId="Heading7">
    <w:name w:val="Heading 7"/>
    <w:basedOn w:val="Normal"/>
    <w:next w:val="Normal"/>
    <w:qFormat/>
    <w:pPr>
      <w:keepNext w:val="true"/>
      <w:numPr>
        <w:ilvl w:val="6"/>
        <w:numId w:val="1"/>
      </w:numPr>
      <w:outlineLvl w:val="6"/>
    </w:pPr>
    <w:rPr>
      <w:rFonts w:ascii="Arial" w:hAnsi="Arial" w:cs="Arial"/>
      <w:b/>
      <w:bCs/>
      <w:i/>
      <w:iCs/>
      <w:u w:val="single"/>
    </w:rPr>
  </w:style>
  <w:style w:type="paragraph" w:styleId="Heading8">
    <w:name w:val="Heading 8"/>
    <w:basedOn w:val="Normal"/>
    <w:next w:val="Normal"/>
    <w:qFormat/>
    <w:pPr>
      <w:keepNext w:val="true"/>
      <w:numPr>
        <w:ilvl w:val="7"/>
        <w:numId w:val="1"/>
      </w:numPr>
      <w:jc w:val="both"/>
      <w:outlineLvl w:val="7"/>
    </w:pPr>
    <w:rPr>
      <w:rFonts w:ascii="Arial" w:hAnsi="Arial" w:cs="Arial"/>
      <w:b/>
      <w:bCs/>
      <w:i/>
      <w:iCs/>
    </w:rPr>
  </w:style>
  <w:style w:type="paragraph" w:styleId="Heading9">
    <w:name w:val="Heading 9"/>
    <w:basedOn w:val="Normal"/>
    <w:next w:val="Normal"/>
    <w:qFormat/>
    <w:pPr>
      <w:keepNext w:val="true"/>
      <w:numPr>
        <w:ilvl w:val="8"/>
        <w:numId w:val="1"/>
      </w:numPr>
      <w:jc w:val="both"/>
      <w:outlineLvl w:val="8"/>
    </w:pPr>
    <w:rPr>
      <w:rFonts w:ascii="Arial" w:hAnsi="Arial" w:cs="Arial"/>
      <w:i/>
      <w:iCs/>
      <w:sz w:val="28"/>
      <w:lang w:val="de-DE"/>
    </w:rPr>
  </w:style>
  <w:style w:type="character" w:styleId="WW8Num2z0">
    <w:name w:val="WW8Num2z0"/>
    <w:qFormat/>
    <w:rPr>
      <w:rFonts w:ascii="Symbol" w:hAnsi="Symbol" w:cs="Times New Roman"/>
    </w:rPr>
  </w:style>
  <w:style w:type="character" w:styleId="WW8Num2z1">
    <w:name w:val="WW8Num2z1"/>
    <w:qFormat/>
    <w:rPr>
      <w:rFonts w:ascii="Courier New" w:hAnsi="Courier New" w:cs="OpenSymbol;Arial Unicode MS"/>
    </w:rPr>
  </w:style>
  <w:style w:type="character" w:styleId="WW8Num2z2">
    <w:name w:val="WW8Num2z2"/>
    <w:qFormat/>
    <w:rPr>
      <w:rFonts w:ascii="Wingdings" w:hAnsi="Wingdings" w:cs="Wingdings"/>
    </w:rPr>
  </w:style>
  <w:style w:type="character" w:styleId="WW8Num3z0">
    <w:name w:val="WW8Num3z0"/>
    <w:qFormat/>
    <w:rPr>
      <w:rFonts w:ascii="Symbol" w:hAnsi="Symbol" w:cs="OpenSymbol;Arial Unicode MS"/>
    </w:rPr>
  </w:style>
  <w:style w:type="character" w:styleId="WW8Num3z1">
    <w:name w:val="WW8Num3z1"/>
    <w:qFormat/>
    <w:rPr>
      <w:rFonts w:ascii="Courier New" w:hAnsi="Courier New" w:cs="OpenSymbol;Arial Unicode MS"/>
    </w:rPr>
  </w:style>
  <w:style w:type="character" w:styleId="WW8Num3z2">
    <w:name w:val="WW8Num3z2"/>
    <w:qFormat/>
    <w:rPr>
      <w:rFonts w:ascii="Wingdings" w:hAnsi="Wingdings" w:cs="Wingdings"/>
    </w:rPr>
  </w:style>
  <w:style w:type="character" w:styleId="WW8Num4z0">
    <w:name w:val="WW8Num4z0"/>
    <w:qFormat/>
    <w:rPr>
      <w:rFonts w:ascii="Symbol" w:hAnsi="Symbol" w:cs="OpenSymbol;Arial Unicode MS"/>
    </w:rPr>
  </w:style>
  <w:style w:type="character" w:styleId="WW8Num4z1">
    <w:name w:val="WW8Num4z1"/>
    <w:qFormat/>
    <w:rPr>
      <w:rFonts w:ascii="OpenSymbol;Arial Unicode MS" w:hAnsi="OpenSymbol;Arial Unicode MS" w:cs="OpenSymbol;Arial Unicode MS"/>
    </w:rPr>
  </w:style>
  <w:style w:type="character" w:styleId="WW8Num5z0">
    <w:name w:val="WW8Num5z0"/>
    <w:qFormat/>
    <w:rPr>
      <w:rFonts w:ascii="Symbol" w:hAnsi="Symbol" w:cs="OpenSymbol;Arial Unicode MS"/>
    </w:rPr>
  </w:style>
  <w:style w:type="character" w:styleId="WW8Num5z1">
    <w:name w:val="WW8Num5z1"/>
    <w:qFormat/>
    <w:rPr>
      <w:rFonts w:ascii="OpenSymbol;Arial Unicode MS" w:hAnsi="OpenSymbol;Arial Unicode MS" w:cs="OpenSymbol;Arial Unicode MS"/>
    </w:rPr>
  </w:style>
  <w:style w:type="character" w:styleId="WW8Num6z0">
    <w:name w:val="WW8Num6z0"/>
    <w:qFormat/>
    <w:rPr>
      <w:rFonts w:ascii="Symbol" w:hAnsi="Symbol" w:cs="OpenSymbol;Arial Unicode MS"/>
    </w:rPr>
  </w:style>
  <w:style w:type="character" w:styleId="WW8Num6z1">
    <w:name w:val="WW8Num6z1"/>
    <w:qFormat/>
    <w:rPr>
      <w:rFonts w:ascii="OpenSymbol;Arial Unicode MS" w:hAnsi="OpenSymbol;Arial Unicode MS" w:cs="OpenSymbol;Arial Unicode MS"/>
    </w:rPr>
  </w:style>
  <w:style w:type="character" w:styleId="WW8Num8z0">
    <w:name w:val="WW8Num8z0"/>
    <w:qFormat/>
    <w:rPr>
      <w:rFonts w:ascii="Symbol" w:hAnsi="Symbol" w:cs="OpenSymbol;Arial Unicode MS"/>
    </w:rPr>
  </w:style>
  <w:style w:type="character" w:styleId="WW8Num8z1">
    <w:name w:val="WW8Num8z1"/>
    <w:qFormat/>
    <w:rPr>
      <w:rFonts w:ascii="OpenSymbol;Arial Unicode MS" w:hAnsi="OpenSymbol;Arial Unicode MS" w:cs="OpenSymbol;Arial Unicode MS"/>
    </w:rPr>
  </w:style>
  <w:style w:type="character" w:styleId="WW8Num7z0">
    <w:name w:val="WW8Num7z0"/>
    <w:qFormat/>
    <w:rPr>
      <w:rFonts w:ascii="Symbol" w:hAnsi="Symbol" w:cs="OpenSymbol;Arial Unicode MS"/>
    </w:rPr>
  </w:style>
  <w:style w:type="character" w:styleId="WW8Num7z1">
    <w:name w:val="WW8Num7z1"/>
    <w:qFormat/>
    <w:rPr>
      <w:rFonts w:ascii="OpenSymbol;Arial Unicode MS" w:hAnsi="OpenSymbol;Arial Unicode MS" w:cs="OpenSymbol;Arial Unicode MS"/>
    </w:rPr>
  </w:style>
  <w:style w:type="character" w:styleId="WW8Num1z0">
    <w:name w:val="WW8Num1z0"/>
    <w:qFormat/>
    <w:rPr>
      <w:rFonts w:ascii="Times New Roman" w:hAnsi="Times New Roman" w:cs="Times New Roman"/>
    </w:rPr>
  </w:style>
  <w:style w:type="character" w:styleId="WW8Num7z2">
    <w:name w:val="WW8Num7z2"/>
    <w:qFormat/>
    <w:rPr>
      <w:rFonts w:ascii="Wingdings" w:hAnsi="Wingdings" w:cs="Wingdings"/>
    </w:rPr>
  </w:style>
  <w:style w:type="character" w:styleId="WW8Num7z3">
    <w:name w:val="WW8Num7z3"/>
    <w:qFormat/>
    <w:rPr>
      <w:rFonts w:ascii="Symbol" w:hAnsi="Symbol" w:cs="Symbol"/>
    </w:rPr>
  </w:style>
  <w:style w:type="character" w:styleId="WW8Num9z0">
    <w:name w:val="WW8Num9z0"/>
    <w:qFormat/>
    <w:rPr>
      <w:rFonts w:ascii="Wingdings" w:hAnsi="Wingdings" w:cs="Wingdings"/>
    </w:rPr>
  </w:style>
  <w:style w:type="character" w:styleId="WW8Num9z1">
    <w:name w:val="WW8Num9z1"/>
    <w:qFormat/>
    <w:rPr>
      <w:rFonts w:ascii="Courier New" w:hAnsi="Courier New" w:cs="Courier New"/>
    </w:rPr>
  </w:style>
  <w:style w:type="character" w:styleId="WW8Num9z3">
    <w:name w:val="WW8Num9z3"/>
    <w:qFormat/>
    <w:rPr>
      <w:rFonts w:ascii="Symbol" w:hAnsi="Symbol" w:cs="Symbol"/>
    </w:rPr>
  </w:style>
  <w:style w:type="character" w:styleId="WW8Num10z0">
    <w:name w:val="WW8Num10z0"/>
    <w:qFormat/>
    <w:rPr>
      <w:rFonts w:ascii="Symbol" w:hAnsi="Symbol" w:cs="Symbol"/>
    </w:rPr>
  </w:style>
  <w:style w:type="character" w:styleId="WW8Num10z1">
    <w:name w:val="WW8Num10z1"/>
    <w:qFormat/>
    <w:rPr>
      <w:rFonts w:ascii="Courier New" w:hAnsi="Courier New" w:cs="Courier New"/>
    </w:rPr>
  </w:style>
  <w:style w:type="character" w:styleId="WW8Num10z2">
    <w:name w:val="WW8Num10z2"/>
    <w:qFormat/>
    <w:rPr>
      <w:rFonts w:ascii="Wingdings" w:hAnsi="Wingdings" w:cs="Wingdings"/>
    </w:rPr>
  </w:style>
  <w:style w:type="character" w:styleId="WW8Num11z0">
    <w:name w:val="WW8Num11z0"/>
    <w:qFormat/>
    <w:rPr/>
  </w:style>
  <w:style w:type="character" w:styleId="WW8Num12z0">
    <w:name w:val="WW8Num12z0"/>
    <w:qFormat/>
    <w:rPr>
      <w:b/>
    </w:rPr>
  </w:style>
  <w:style w:type="character" w:styleId="WW8Num13z0">
    <w:name w:val="WW8Num13z0"/>
    <w:qFormat/>
    <w:rPr/>
  </w:style>
  <w:style w:type="character" w:styleId="WW8Num14z0">
    <w:name w:val="WW8Num14z0"/>
    <w:qFormat/>
    <w:rPr/>
  </w:style>
  <w:style w:type="character" w:styleId="WW8Num15z0">
    <w:name w:val="WW8Num15z0"/>
    <w:qFormat/>
    <w:rPr/>
  </w:style>
  <w:style w:type="character" w:styleId="WW8Num16z0">
    <w:name w:val="WW8Num16z0"/>
    <w:qFormat/>
    <w:rPr/>
  </w:style>
  <w:style w:type="character" w:styleId="WW8Num17z0">
    <w:name w:val="WW8Num17z0"/>
    <w:qFormat/>
    <w:rPr>
      <w:rFonts w:ascii="Symbol" w:hAnsi="Symbol" w:cs="Symbol"/>
    </w:rPr>
  </w:style>
  <w:style w:type="character" w:styleId="WW8Num17z1">
    <w:name w:val="WW8Num17z1"/>
    <w:qFormat/>
    <w:rPr>
      <w:rFonts w:ascii="Courier New" w:hAnsi="Courier New" w:cs="Courier New"/>
    </w:rPr>
  </w:style>
  <w:style w:type="character" w:styleId="WW8Num17z2">
    <w:name w:val="WW8Num17z2"/>
    <w:qFormat/>
    <w:rPr>
      <w:rFonts w:ascii="Wingdings" w:hAnsi="Wingdings" w:cs="Wingdings"/>
    </w:rPr>
  </w:style>
  <w:style w:type="character" w:styleId="WW8Num18z0">
    <w:name w:val="WW8Num18z0"/>
    <w:qFormat/>
    <w:rPr/>
  </w:style>
  <w:style w:type="character" w:styleId="WW8Num19z0">
    <w:name w:val="WW8Num19z0"/>
    <w:qFormat/>
    <w:rPr/>
  </w:style>
  <w:style w:type="character" w:styleId="WW8Num20z0">
    <w:name w:val="WW8Num20z0"/>
    <w:qFormat/>
    <w:rPr/>
  </w:style>
  <w:style w:type="character" w:styleId="WW8Num21z0">
    <w:name w:val="WW8Num21z0"/>
    <w:qFormat/>
    <w:rPr>
      <w:rFonts w:ascii="Arial" w:hAnsi="Arial" w:eastAsia="Arial" w:cs="Arial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22"/>
      <w:sz w:val="22"/>
      <w:szCs w:val="22"/>
      <w:u w:val="none"/>
      <w:vertAlign w:val="baseline"/>
      <w:lang w:val="pl-PL" w:bidi="pl-PL"/>
    </w:rPr>
  </w:style>
  <w:style w:type="character" w:styleId="WW8Num22z0">
    <w:name w:val="WW8Num22z0"/>
    <w:qFormat/>
    <w:rPr/>
  </w:style>
  <w:style w:type="character" w:styleId="WW8Num23z0">
    <w:name w:val="WW8Num23z0"/>
    <w:qFormat/>
    <w:rPr>
      <w:rFonts w:ascii="Arial" w:hAnsi="Arial" w:eastAsia="Times New Roman" w:cs="Arial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22"/>
      <w:sz w:val="22"/>
      <w:szCs w:val="22"/>
      <w:u w:val="none"/>
      <w:vertAlign w:val="baseline"/>
      <w:lang w:val="pl-PL" w:bidi="pl-PL"/>
    </w:rPr>
  </w:style>
  <w:style w:type="character" w:styleId="WW8Num24z0">
    <w:name w:val="WW8Num24z0"/>
    <w:qFormat/>
    <w:rPr/>
  </w:style>
  <w:style w:type="character" w:styleId="WW8Num25z0">
    <w:name w:val="WW8Num25z0"/>
    <w:qFormat/>
    <w:rPr/>
  </w:style>
  <w:style w:type="character" w:styleId="WW8Num26z0">
    <w:name w:val="WW8Num26z0"/>
    <w:qFormat/>
    <w:rPr/>
  </w:style>
  <w:style w:type="character" w:styleId="WW8Num27z0">
    <w:name w:val="WW8Num27z0"/>
    <w:qFormat/>
    <w:rPr/>
  </w:style>
  <w:style w:type="character" w:styleId="WW8Num27z1">
    <w:name w:val="WW8Num27z1"/>
    <w:qFormat/>
    <w:rPr>
      <w:rFonts w:ascii="Wingdings" w:hAnsi="Wingdings" w:cs="Wingdings"/>
    </w:rPr>
  </w:style>
  <w:style w:type="character" w:styleId="WW8Num28z0">
    <w:name w:val="WW8Num28z0"/>
    <w:qFormat/>
    <w:rPr/>
  </w:style>
  <w:style w:type="character" w:styleId="WW8Num29z0">
    <w:name w:val="WW8Num29z0"/>
    <w:qFormat/>
    <w:rPr/>
  </w:style>
  <w:style w:type="character" w:styleId="WW8Num30z0">
    <w:name w:val="WW8Num30z0"/>
    <w:qFormat/>
    <w:rPr>
      <w:rFonts w:ascii="Symbol" w:hAnsi="Symbol" w:cs="Symbol"/>
      <w:b/>
      <w:i w:val="false"/>
    </w:rPr>
  </w:style>
  <w:style w:type="character" w:styleId="WW8Num30z1">
    <w:name w:val="WW8Num30z1"/>
    <w:qFormat/>
    <w:rPr>
      <w:rFonts w:ascii="Courier New" w:hAnsi="Courier New" w:cs="Courier New"/>
    </w:rPr>
  </w:style>
  <w:style w:type="character" w:styleId="WW8Num30z2">
    <w:name w:val="WW8Num30z2"/>
    <w:qFormat/>
    <w:rPr>
      <w:rFonts w:ascii="Wingdings" w:hAnsi="Wingdings" w:cs="Wingdings"/>
    </w:rPr>
  </w:style>
  <w:style w:type="character" w:styleId="WW8Num30z3">
    <w:name w:val="WW8Num30z3"/>
    <w:qFormat/>
    <w:rPr>
      <w:rFonts w:ascii="Symbol" w:hAnsi="Symbol" w:cs="Symbol"/>
    </w:rPr>
  </w:style>
  <w:style w:type="character" w:styleId="WW8Num31z0">
    <w:name w:val="WW8Num31z0"/>
    <w:qFormat/>
    <w:rPr>
      <w:rFonts w:ascii="Symbol" w:hAnsi="Symbol" w:cs="Symbol"/>
    </w:rPr>
  </w:style>
  <w:style w:type="character" w:styleId="WW8Num31z1">
    <w:name w:val="WW8Num31z1"/>
    <w:qFormat/>
    <w:rPr>
      <w:rFonts w:ascii="Courier New" w:hAnsi="Courier New" w:cs="Courier New"/>
    </w:rPr>
  </w:style>
  <w:style w:type="character" w:styleId="WW8Num31z2">
    <w:name w:val="WW8Num31z2"/>
    <w:qFormat/>
    <w:rPr>
      <w:rFonts w:ascii="Wingdings" w:hAnsi="Wingdings" w:cs="Wingdings"/>
    </w:rPr>
  </w:style>
  <w:style w:type="character" w:styleId="WW8Num32z0">
    <w:name w:val="WW8Num32z0"/>
    <w:qFormat/>
    <w:rPr>
      <w:color w:val="000000"/>
    </w:rPr>
  </w:style>
  <w:style w:type="character" w:styleId="WW8Num33z0">
    <w:name w:val="WW8Num33z0"/>
    <w:qFormat/>
    <w:rPr/>
  </w:style>
  <w:style w:type="character" w:styleId="WW8Num34z0">
    <w:name w:val="WW8Num34z0"/>
    <w:qFormat/>
    <w:rPr/>
  </w:style>
  <w:style w:type="character" w:styleId="WW8Num35z0">
    <w:name w:val="WW8Num35z0"/>
    <w:qFormat/>
    <w:rPr/>
  </w:style>
  <w:style w:type="character" w:styleId="WW8Num36z0">
    <w:name w:val="WW8Num36z0"/>
    <w:qFormat/>
    <w:rPr>
      <w:rFonts w:ascii="Arial" w:hAnsi="Arial" w:eastAsia="Times New Roman" w:cs="Arial"/>
    </w:rPr>
  </w:style>
  <w:style w:type="character" w:styleId="WW8Num37z0">
    <w:name w:val="WW8Num37z0"/>
    <w:qFormat/>
    <w:rPr/>
  </w:style>
  <w:style w:type="character" w:styleId="WW8Num38z0">
    <w:name w:val="WW8Num38z0"/>
    <w:qFormat/>
    <w:rPr>
      <w:b/>
      <w:i w:val="false"/>
    </w:rPr>
  </w:style>
  <w:style w:type="character" w:styleId="WW8Num38z1">
    <w:name w:val="WW8Num38z1"/>
    <w:qFormat/>
    <w:rPr>
      <w:rFonts w:ascii="Symbol" w:hAnsi="Symbol" w:cs="Symbol"/>
      <w:b/>
      <w:i w:val="false"/>
    </w:rPr>
  </w:style>
  <w:style w:type="character" w:styleId="WW8Num38z2">
    <w:name w:val="WW8Num38z2"/>
    <w:qFormat/>
    <w:rPr/>
  </w:style>
  <w:style w:type="character" w:styleId="WW8Num39z0">
    <w:name w:val="WW8Num39z0"/>
    <w:qFormat/>
    <w:rPr>
      <w:rFonts w:ascii="Symbol" w:hAnsi="Symbol" w:cs="Symbol"/>
    </w:rPr>
  </w:style>
  <w:style w:type="character" w:styleId="WW8Num39z1">
    <w:name w:val="WW8Num39z1"/>
    <w:qFormat/>
    <w:rPr>
      <w:rFonts w:ascii="Courier New" w:hAnsi="Courier New" w:cs="Courier New"/>
    </w:rPr>
  </w:style>
  <w:style w:type="character" w:styleId="WW8Num39z2">
    <w:name w:val="WW8Num39z2"/>
    <w:qFormat/>
    <w:rPr>
      <w:rFonts w:ascii="Wingdings" w:hAnsi="Wingdings" w:cs="Wingdings"/>
    </w:rPr>
  </w:style>
  <w:style w:type="character" w:styleId="Domylnaczcionkaakapitu">
    <w:name w:val="Domyślna czcionka akapitu"/>
    <w:qFormat/>
    <w:rPr/>
  </w:style>
  <w:style w:type="character" w:styleId="NagwekZnak">
    <w:name w:val="Nagłówek Znak"/>
    <w:qFormat/>
    <w:rPr>
      <w:sz w:val="24"/>
      <w:szCs w:val="24"/>
    </w:rPr>
  </w:style>
  <w:style w:type="character" w:styleId="Znakiwypunktowania">
    <w:name w:val="Znaki wypunktowania"/>
    <w:qFormat/>
    <w:rPr>
      <w:rFonts w:ascii="OpenSymbol;Arial Unicode MS" w:hAnsi="OpenSymbol;Arial Unicode MS" w:eastAsia="OpenSymbol;Arial Unicode MS" w:cs="OpenSymbol;Arial Unicode MS"/>
    </w:rPr>
  </w:style>
  <w:style w:type="character" w:styleId="Znakinumeracji">
    <w:name w:val="Znaki numeracji"/>
    <w:qFormat/>
    <w:rPr/>
  </w:style>
  <w:style w:type="character" w:styleId="Hyperlink">
    <w:name w:val="Hyperlink"/>
    <w:rPr>
      <w:color w:val="000080"/>
      <w:u w:val="single"/>
    </w:rPr>
  </w:style>
  <w:style w:type="character" w:styleId="WW8Num5z2">
    <w:name w:val="WW8Num5z2"/>
    <w:qFormat/>
    <w:rPr>
      <w:rFonts w:ascii="Wingdings" w:hAnsi="Wingdings" w:cs="Wingdings"/>
    </w:rPr>
  </w:style>
  <w:style w:type="character" w:styleId="WW8Num6z2">
    <w:name w:val="WW8Num6z2"/>
    <w:qFormat/>
    <w:rPr>
      <w:rFonts w:ascii="Wingdings" w:hAnsi="Wingdings" w:cs="Wingdings"/>
    </w:rPr>
  </w:style>
  <w:style w:type="character" w:styleId="WW8Num18z1">
    <w:name w:val="WW8Num18z1"/>
    <w:qFormat/>
    <w:rPr>
      <w:rFonts w:ascii="Courier New" w:hAnsi="Courier New" w:cs="Courier New"/>
    </w:rPr>
  </w:style>
  <w:style w:type="character" w:styleId="WW8Num18z2">
    <w:name w:val="WW8Num18z2"/>
    <w:qFormat/>
    <w:rPr>
      <w:rFonts w:ascii="Wingdings" w:hAnsi="Wingdings" w:cs="Wingdings"/>
    </w:rPr>
  </w:style>
  <w:style w:type="paragraph" w:styleId="Nagwek">
    <w:name w:val="Nagłówek"/>
    <w:basedOn w:val="Normal"/>
    <w:next w:val="BodyText"/>
    <w:qFormat/>
    <w:pPr>
      <w:keepNext w:val="true"/>
      <w:spacing w:before="240" w:after="120"/>
    </w:pPr>
    <w:rPr>
      <w:rFonts w:ascii="Liberation Sans;Arial" w:hAnsi="Liberation Sans;Arial" w:eastAsia="Microsoft YaHei" w:cs="Arial"/>
      <w:sz w:val="28"/>
      <w:szCs w:val="28"/>
    </w:rPr>
  </w:style>
  <w:style w:type="paragraph" w:styleId="BodyText">
    <w:name w:val="Body Text"/>
    <w:basedOn w:val="Normal"/>
    <w:pPr>
      <w:suppressAutoHyphens w:val="true"/>
    </w:pPr>
    <w:rPr>
      <w:rFonts w:ascii="Arial" w:hAnsi="Arial" w:cs="Arial"/>
      <w:szCs w:val="20"/>
    </w:rPr>
  </w:style>
  <w:style w:type="paragraph" w:styleId="List">
    <w:name w:val="List"/>
    <w:basedOn w:val="BodyText"/>
    <w:pPr/>
    <w:rPr>
      <w:rFonts w:cs="Ari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Indeks">
    <w:name w:val="Indeks"/>
    <w:basedOn w:val="Normal"/>
    <w:qFormat/>
    <w:pPr>
      <w:suppressLineNumbers/>
    </w:pPr>
    <w:rPr>
      <w:rFonts w:cs="Arial"/>
    </w:rPr>
  </w:style>
  <w:style w:type="paragraph" w:styleId="Caption1">
    <w:name w:val="Caption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">
    <w:name w:val="Caption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">
    <w:name w:val="Caption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">
    <w:name w:val="Caption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">
    <w:name w:val="Caption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">
    <w:name w:val="Caption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">
    <w:name w:val="Caption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">
    <w:name w:val="Caption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">
    <w:name w:val="Caption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">
    <w:name w:val="Caption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">
    <w:name w:val="Caption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">
    <w:name w:val="Caption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">
    <w:name w:val="Caption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">
    <w:name w:val="Caption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">
    <w:name w:val="Caption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">
    <w:name w:val="Caption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">
    <w:name w:val="Caption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">
    <w:name w:val="Caption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">
    <w:name w:val="Caption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">
    <w:name w:val="Caption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">
    <w:name w:val="Caption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">
    <w:name w:val="Caption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">
    <w:name w:val="Caption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">
    <w:name w:val="Caption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">
    <w:name w:val="Caption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">
    <w:name w:val="Caption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">
    <w:name w:val="Caption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">
    <w:name w:val="Caption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">
    <w:name w:val="Caption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">
    <w:name w:val="Caption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">
    <w:name w:val="Caption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">
    <w:name w:val="Caption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">
    <w:name w:val="Caption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">
    <w:name w:val="Caption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">
    <w:name w:val="Caption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">
    <w:name w:val="Caption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">
    <w:name w:val="Caption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">
    <w:name w:val="Caption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">
    <w:name w:val="Caption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">
    <w:name w:val="Caption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">
    <w:name w:val="Caption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">
    <w:name w:val="Caption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">
    <w:name w:val="Caption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">
    <w:name w:val="Caption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">
    <w:name w:val="Caption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">
    <w:name w:val="Caption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">
    <w:name w:val="Caption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">
    <w:name w:val="Caption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">
    <w:name w:val="Caption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">
    <w:name w:val="Caption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">
    <w:name w:val="Caption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">
    <w:name w:val="Caption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">
    <w:name w:val="Caption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">
    <w:name w:val="Caption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">
    <w:name w:val="Caption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">
    <w:name w:val="Caption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">
    <w:name w:val="Caption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">
    <w:name w:val="Caption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">
    <w:name w:val="Caption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">
    <w:name w:val="Caption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">
    <w:name w:val="Caption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">
    <w:name w:val="Caption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">
    <w:name w:val="Caption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">
    <w:name w:val="Caption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">
    <w:name w:val="Caption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">
    <w:name w:val="Caption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">
    <w:name w:val="Caption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">
    <w:name w:val="Caption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">
    <w:name w:val="Caption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1">
    <w:name w:val="Caption1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11">
    <w:name w:val="Caption11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111">
    <w:name w:val="Caption111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1111">
    <w:name w:val="Caption1111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11111">
    <w:name w:val="Caption11111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111111">
    <w:name w:val="Caption111111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111111111111111111">
    <w:name w:val="Caption111111111111111111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Gwkaistopka">
    <w:name w:val="Główka i stopka"/>
    <w:basedOn w:val="Normal"/>
    <w:qFormat/>
    <w:pPr>
      <w:suppressLineNumbers/>
      <w:tabs>
        <w:tab w:val="clear" w:pos="708"/>
        <w:tab w:val="center" w:pos="4819" w:leader="none"/>
        <w:tab w:val="right" w:pos="9638" w:leader="none"/>
      </w:tabs>
    </w:pPr>
    <w:rPr/>
  </w:style>
  <w:style w:type="paragraph" w:styleId="Header">
    <w:name w:val="Header"/>
    <w:basedOn w:val="Normal"/>
    <w:pPr>
      <w:tabs>
        <w:tab w:val="clear" w:pos="708"/>
        <w:tab w:val="center" w:pos="4536" w:leader="none"/>
        <w:tab w:val="right" w:pos="9072" w:leader="none"/>
      </w:tabs>
    </w:pPr>
    <w:rPr>
      <w:lang w:val="pl-PL"/>
    </w:rPr>
  </w:style>
  <w:style w:type="paragraph" w:styleId="Tekstpodstawowy2">
    <w:name w:val="Tekst podstawowy 2"/>
    <w:basedOn w:val="Normal"/>
    <w:qFormat/>
    <w:pPr>
      <w:jc w:val="both"/>
    </w:pPr>
    <w:rPr>
      <w:szCs w:val="20"/>
    </w:rPr>
  </w:style>
  <w:style w:type="paragraph" w:styleId="BodyTextIndent">
    <w:name w:val="Body Text Indent"/>
    <w:basedOn w:val="Normal"/>
    <w:pPr>
      <w:shd w:val="clear" w:fill="FFFFFF"/>
      <w:ind w:hanging="0" w:start="115" w:end="0"/>
    </w:pPr>
    <w:rPr>
      <w:color w:val="000000"/>
      <w:spacing w:val="-8"/>
      <w:sz w:val="25"/>
      <w:szCs w:val="25"/>
    </w:rPr>
  </w:style>
  <w:style w:type="paragraph" w:styleId="Tekstblokowy">
    <w:name w:val="Tekst blokowy"/>
    <w:basedOn w:val="Normal"/>
    <w:qFormat/>
    <w:pPr>
      <w:shd w:val="clear" w:fill="FFFFFF"/>
      <w:ind w:hanging="360" w:start="1080" w:end="922"/>
      <w:jc w:val="both"/>
    </w:pPr>
    <w:rPr>
      <w:color w:val="000000"/>
      <w:sz w:val="26"/>
      <w:szCs w:val="25"/>
    </w:rPr>
  </w:style>
  <w:style w:type="paragraph" w:styleId="Tekstpodstawowywcity2">
    <w:name w:val="Tekst podstawowy wcięty 2"/>
    <w:basedOn w:val="Normal"/>
    <w:qFormat/>
    <w:pPr>
      <w:ind w:firstLine="708" w:start="0" w:end="0"/>
      <w:jc w:val="both"/>
    </w:pPr>
    <w:rPr>
      <w:szCs w:val="20"/>
    </w:rPr>
  </w:style>
  <w:style w:type="paragraph" w:styleId="Tekstpodstawowy3">
    <w:name w:val="Tekst podstawowy 3"/>
    <w:basedOn w:val="Normal"/>
    <w:qFormat/>
    <w:pPr>
      <w:shd w:val="clear" w:fill="FFFFFF"/>
      <w:tabs>
        <w:tab w:val="clear" w:pos="708"/>
        <w:tab w:val="left" w:pos="9000" w:leader="none"/>
      </w:tabs>
      <w:ind w:hanging="0" w:start="0" w:end="72"/>
      <w:jc w:val="both"/>
    </w:pPr>
    <w:rPr>
      <w:rFonts w:ascii="Arial" w:hAnsi="Arial" w:cs="Arial"/>
      <w:b/>
      <w:bCs/>
      <w:color w:val="000000"/>
      <w:spacing w:val="-2"/>
      <w:sz w:val="26"/>
      <w:szCs w:val="29"/>
    </w:rPr>
  </w:style>
  <w:style w:type="paragraph" w:styleId="Tekstpodstawowywcity3">
    <w:name w:val="Tekst podstawowy wcięty 3"/>
    <w:basedOn w:val="Normal"/>
    <w:qFormat/>
    <w:pPr>
      <w:ind w:firstLine="708" w:start="0" w:end="0"/>
      <w:jc w:val="both"/>
    </w:pPr>
    <w:rPr>
      <w:rFonts w:ascii="Arial" w:hAnsi="Arial" w:cs="Arial"/>
      <w:i/>
      <w:iCs/>
    </w:rPr>
  </w:style>
  <w:style w:type="paragraph" w:styleId="Akapitzlist">
    <w:name w:val="Akapit z listą"/>
    <w:basedOn w:val="Normal"/>
    <w:qFormat/>
    <w:pPr>
      <w:ind w:hanging="0" w:start="708" w:end="0"/>
    </w:pPr>
    <w:rPr/>
  </w:style>
  <w:style w:type="paragraph" w:styleId="Tekstpodstawowywcity1">
    <w:name w:val="Tekst podstawowy wcięty1"/>
    <w:basedOn w:val="Normal"/>
    <w:qFormat/>
    <w:pPr>
      <w:suppressAutoHyphens w:val="true"/>
      <w:ind w:hanging="0" w:start="480" w:end="0"/>
    </w:pPr>
    <w:rPr>
      <w:rFonts w:ascii="Arial" w:hAnsi="Arial" w:cs="Arial"/>
    </w:rPr>
  </w:style>
  <w:style w:type="paragraph" w:styleId="Footer">
    <w:name w:val="Footer"/>
    <w:basedOn w:val="Gwkaistopka"/>
    <w:pPr>
      <w:suppressLineNumbers/>
      <w:tabs>
        <w:tab w:val="clear" w:pos="4819"/>
        <w:tab w:val="clear" w:pos="9638"/>
        <w:tab w:val="center" w:pos="4294" w:leader="none"/>
        <w:tab w:val="right" w:pos="8589" w:leader="none"/>
      </w:tabs>
    </w:pPr>
    <w:rPr/>
  </w:style>
  <w:style w:type="paragraph" w:styleId="Zawartotabeli">
    <w:name w:val="Zawartość tabeli"/>
    <w:basedOn w:val="Normal"/>
    <w:qFormat/>
    <w:pPr>
      <w:widowControl w:val="false"/>
      <w:suppressLineNumbers/>
    </w:pPr>
    <w:rPr/>
  </w:style>
  <w:style w:type="paragraph" w:styleId="Nagwektabeli">
    <w:name w:val="Nagłówek tabeli"/>
    <w:basedOn w:val="Zawartotabeli"/>
    <w:qFormat/>
    <w:pPr>
      <w:suppressLineNumbers/>
      <w:jc w:val="center"/>
    </w:pPr>
    <w:rPr>
      <w:b/>
      <w:bCs/>
    </w:rPr>
  </w:style>
  <w:style w:type="paragraph" w:styleId="Gwkalewa">
    <w:name w:val="Główka lewa"/>
    <w:basedOn w:val="Header"/>
    <w:qFormat/>
    <w:pPr>
      <w:suppressLineNumbers/>
      <w:tabs>
        <w:tab w:val="clear" w:pos="4536"/>
        <w:tab w:val="clear" w:pos="9072"/>
        <w:tab w:val="center" w:pos="4479" w:leader="none"/>
        <w:tab w:val="right" w:pos="8958" w:leader="none"/>
      </w:tabs>
    </w:pPr>
    <w:rPr/>
  </w:style>
  <w:style w:type="paragraph" w:styleId="ListParagraph">
    <w:name w:val="List Paragraph"/>
    <w:basedOn w:val="Normal"/>
    <w:qFormat/>
    <w:pPr>
      <w:numPr>
        <w:ilvl w:val="0"/>
        <w:numId w:val="0"/>
      </w:numPr>
      <w:ind w:hanging="0" w:start="720" w:end="0"/>
    </w:pPr>
    <w:rPr/>
  </w:style>
  <w:style w:type="paragraph" w:styleId="Standard">
    <w:name w:val="Standard"/>
    <w:qFormat/>
    <w:pPr>
      <w:widowControl/>
      <w:suppressAutoHyphens w:val="true"/>
      <w:bidi w:val="0"/>
      <w:spacing w:lineRule="auto" w:line="240" w:before="0" w:after="0"/>
      <w:jc w:val="start"/>
      <w:textAlignment w:val="baseline"/>
    </w:pPr>
    <w:rPr>
      <w:rFonts w:ascii="Liberation Serif;Times New Roman" w:hAnsi="Liberation Serif;Times New Roman" w:eastAsia="NSimSun" w:cs="Arial"/>
      <w:color w:val="auto"/>
      <w:kern w:val="2"/>
      <w:sz w:val="24"/>
      <w:szCs w:val="24"/>
      <w:lang w:val="pl-PL" w:eastAsia="zh-CN" w:bidi="hi-IN"/>
    </w:rPr>
  </w:style>
  <w:style w:type="paragraph" w:styleId="Standard1">
    <w:name w:val="Standard1"/>
    <w:qFormat/>
    <w:pPr>
      <w:widowControl/>
      <w:suppressAutoHyphens w:val="true"/>
      <w:bidi w:val="0"/>
      <w:spacing w:lineRule="auto" w:line="240" w:before="0" w:after="0"/>
      <w:jc w:val="start"/>
      <w:textAlignment w:val="baseline"/>
    </w:pPr>
    <w:rPr>
      <w:rFonts w:ascii="Liberation Serif;Times New Roman" w:hAnsi="Liberation Serif;Times New Roman" w:eastAsia="NSimSun" w:cs="Arial"/>
      <w:color w:val="auto"/>
      <w:kern w:val="2"/>
      <w:sz w:val="24"/>
      <w:szCs w:val="24"/>
      <w:lang w:val="pl-PL" w:eastAsia="zh-CN" w:bidi="hi-IN"/>
    </w:rPr>
  </w:style>
  <w:style w:type="paragraph" w:styleId="Caption2">
    <w:name w:val="Caption2"/>
    <w:basedOn w:val="Normal"/>
    <w:qFormat/>
    <w:pPr>
      <w:spacing w:before="120" w:after="120"/>
    </w:pPr>
    <w:rPr>
      <w:rFonts w:cs="Arial"/>
      <w:i/>
      <w:iCs/>
      <w:color w:val="000000"/>
    </w:rPr>
  </w:style>
  <w:style w:type="numbering" w:styleId="WW8Num1">
    <w:name w:val="WW8Num1"/>
    <w:qFormat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image" Target="media/image3.png"/><Relationship Id="rId5" Type="http://schemas.openxmlformats.org/officeDocument/2006/relationships/header" Target="header1.xml"/><Relationship Id="rId6" Type="http://schemas.openxmlformats.org/officeDocument/2006/relationships/header" Target="header2.xml"/><Relationship Id="rId7" Type="http://schemas.openxmlformats.org/officeDocument/2006/relationships/footer" Target="footer1.xml"/><Relationship Id="rId8" Type="http://schemas.openxmlformats.org/officeDocument/2006/relationships/footer" Target="footer2.xml"/><Relationship Id="rId9" Type="http://schemas.openxmlformats.org/officeDocument/2006/relationships/numbering" Target="numbering.xml"/><Relationship Id="rId10" Type="http://schemas.openxmlformats.org/officeDocument/2006/relationships/fontTable" Target="fontTable.xml"/><Relationship Id="rId11" Type="http://schemas.openxmlformats.org/officeDocument/2006/relationships/settings" Target="settings.xml"/><Relationship Id="rId12" Type="http://schemas.openxmlformats.org/officeDocument/2006/relationships/theme" Target="theme/theme1.xml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hyperlink" Target="mailto:wokasz@wp.pl" TargetMode="External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LibreOffice">
      <a:dk1>
        <a:srgbClr val="000000"/>
      </a:dk1>
      <a:lt1>
        <a:srgbClr val="ffffff"/>
      </a:lt1>
      <a:dk2>
        <a:srgbClr val="000000"/>
      </a:dk2>
      <a:lt2>
        <a:srgbClr val="ffffff"/>
      </a:lt2>
      <a:accent1>
        <a:srgbClr val="18a303"/>
      </a:accent1>
      <a:accent2>
        <a:srgbClr val="0369a3"/>
      </a:accent2>
      <a:accent3>
        <a:srgbClr val="a33e03"/>
      </a:accent3>
      <a:accent4>
        <a:srgbClr val="8e03a3"/>
      </a:accent4>
      <a:accent5>
        <a:srgbClr val="c99c00"/>
      </a:accent5>
      <a:accent6>
        <a:srgbClr val="c9211e"/>
      </a:accent6>
      <a:hlink>
        <a:srgbClr val="0000ee"/>
      </a:hlink>
      <a:folHlink>
        <a:srgbClr val="551a8b"/>
      </a:folHlink>
    </a:clrScheme>
    <a:fontScheme name="Office">
      <a:majorFont>
        <a:latin typeface="Arial" pitchFamily="0" charset="1"/>
        <a:ea typeface="DejaVu Sans" pitchFamily="0" charset="1"/>
        <a:cs typeface="DejaVu Sans" pitchFamily="0" charset="1"/>
      </a:majorFont>
      <a:minorFont>
        <a:latin typeface="Arial" pitchFamily="0" charset="1"/>
        <a:ea typeface="DejaVu Sans" pitchFamily="0" charset="1"/>
        <a:cs typeface="DejaVu Sans" pitchFamily="0" charset="1"/>
      </a:minorFont>
    </a:fontScheme>
    <a:fmtScheme>
      <a:fillStyleLst>
        <a:solidFill>
          <a:schemeClr val="phClr"/>
        </a:solidFill>
        <a:solidFill>
          <a:schemeClr val="phClr"/>
        </a:solidFill>
        <a:solidFill>
          <a:schemeClr val="phClr"/>
        </a:solidFill>
      </a:fillStyleLst>
      <a:lnStyleLst>
        <a:ln w="6350" cap="flat" cmpd="sng" algn="ctr">
          <a:prstDash val="solid"/>
          <a:miter/>
        </a:ln>
        <a:ln w="6350" cap="flat" cmpd="sng" algn="ctr">
          <a:prstDash val="solid"/>
          <a:miter/>
        </a:ln>
        <a:ln w="6350" cap="flat" cmpd="sng" algn="ctr">
          <a:prstDash val="solid"/>
          <a:miter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/>
        </a:solidFill>
        <a:solidFill>
          <a:schemeClr val="phClr"/>
        </a:solidFill>
      </a:bgFillStyleLst>
    </a:fmtScheme>
  </a:themeElements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Normal_x005F_x0000_</Template>
  <TotalTime>22109</TotalTime>
  <Application>LibreOffice/7.6.2.1$Windows_X86_64 LibreOffice_project/56f7684011345957bbf33a7ee678afaf4d2ba333</Application>
  <AppVersion>15.0000</AppVersion>
  <Pages>22</Pages>
  <Words>5704</Words>
  <Characters>37745</Characters>
  <CharactersWithSpaces>43311</CharactersWithSpaces>
  <Paragraphs>427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LUCAS</dc:creator>
  <dc:description/>
  <dc:language>pl-PL</dc:language>
  <cp:lastModifiedBy/>
  <cp:lastPrinted>2026-03-18T14:25:24Z</cp:lastPrinted>
  <dcterms:modified xsi:type="dcterms:W3CDTF">2026-03-18T14:48:51Z</dcterms:modified>
  <cp:revision>782</cp:revision>
  <dc:subject/>
  <dc:title>PROJEKT BUDOWLANY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